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8F2D2" w14:textId="0ED97A76" w:rsidR="008A06D6" w:rsidRPr="007938E0" w:rsidRDefault="008A06D6" w:rsidP="00DD3CBC">
      <w:pPr>
        <w:spacing w:line="360" w:lineRule="atLeast"/>
        <w:jc w:val="center"/>
        <w:rPr>
          <w:rFonts w:ascii="Arial" w:hAnsi="Arial" w:cs="Arial"/>
          <w:b/>
          <w:sz w:val="24"/>
          <w:szCs w:val="24"/>
        </w:rPr>
      </w:pPr>
      <w:r w:rsidRPr="007938E0">
        <w:rPr>
          <w:rFonts w:ascii="Arial" w:hAnsi="Arial" w:cs="Arial"/>
          <w:b/>
          <w:sz w:val="24"/>
          <w:szCs w:val="24"/>
          <w:u w:val="single"/>
        </w:rPr>
        <w:t>GENERAL BLOCK GRANT CONDITIONS</w:t>
      </w:r>
      <w:r w:rsidR="007F2A3A">
        <w:rPr>
          <w:rFonts w:ascii="Arial" w:hAnsi="Arial" w:cs="Arial"/>
          <w:b/>
          <w:sz w:val="24"/>
          <w:szCs w:val="24"/>
          <w:u w:val="single"/>
        </w:rPr>
        <w:t xml:space="preserve"> and CERTIFICATIONS</w:t>
      </w:r>
    </w:p>
    <w:p w14:paraId="7D180E91" w14:textId="77777777" w:rsidR="008A06D6" w:rsidRPr="007938E0" w:rsidRDefault="008A06D6" w:rsidP="00DD3CBC">
      <w:pPr>
        <w:spacing w:line="360" w:lineRule="atLeast"/>
        <w:jc w:val="both"/>
        <w:rPr>
          <w:rFonts w:ascii="Arial" w:hAnsi="Arial" w:cs="Arial"/>
          <w:sz w:val="24"/>
          <w:szCs w:val="24"/>
        </w:rPr>
      </w:pPr>
    </w:p>
    <w:p w14:paraId="1EF3DE4B" w14:textId="66DAEBCF" w:rsidR="008A06D6" w:rsidRPr="007938E0" w:rsidRDefault="008A06D6" w:rsidP="00C0103A">
      <w:pPr>
        <w:numPr>
          <w:ilvl w:val="1"/>
          <w:numId w:val="1"/>
        </w:numPr>
        <w:tabs>
          <w:tab w:val="left" w:pos="360"/>
        </w:tabs>
        <w:spacing w:before="100" w:beforeAutospacing="1" w:after="100" w:afterAutospacing="1"/>
        <w:ind w:left="720" w:hanging="720"/>
        <w:contextualSpacing/>
        <w:jc w:val="both"/>
        <w:rPr>
          <w:rFonts w:ascii="Arial" w:hAnsi="Arial" w:cs="Arial"/>
          <w:sz w:val="24"/>
          <w:szCs w:val="24"/>
        </w:rPr>
      </w:pPr>
      <w:r w:rsidRPr="007938E0">
        <w:rPr>
          <w:rFonts w:ascii="Arial" w:hAnsi="Arial" w:cs="Arial"/>
          <w:sz w:val="24"/>
          <w:szCs w:val="24"/>
          <w:u w:val="single"/>
        </w:rPr>
        <w:t>Definitions</w:t>
      </w:r>
      <w:r w:rsidRPr="007938E0">
        <w:rPr>
          <w:rFonts w:ascii="Arial" w:hAnsi="Arial" w:cs="Arial"/>
          <w:sz w:val="24"/>
          <w:szCs w:val="24"/>
        </w:rPr>
        <w:t>.</w:t>
      </w:r>
      <w:r w:rsidR="0064626A" w:rsidRPr="007938E0">
        <w:rPr>
          <w:rFonts w:ascii="Arial" w:hAnsi="Arial" w:cs="Arial"/>
          <w:sz w:val="24"/>
          <w:szCs w:val="24"/>
        </w:rPr>
        <w:t xml:space="preserve"> </w:t>
      </w:r>
      <w:r w:rsidRPr="007938E0">
        <w:rPr>
          <w:rFonts w:ascii="Arial" w:hAnsi="Arial" w:cs="Arial"/>
          <w:sz w:val="24"/>
          <w:szCs w:val="24"/>
        </w:rPr>
        <w:t>As used herein, "HUD" means United States Department of Housing and Urban Development.</w:t>
      </w:r>
      <w:r w:rsidR="0064626A" w:rsidRPr="007938E0">
        <w:rPr>
          <w:rFonts w:ascii="Arial" w:hAnsi="Arial" w:cs="Arial"/>
          <w:sz w:val="24"/>
          <w:szCs w:val="24"/>
        </w:rPr>
        <w:t xml:space="preserve"> </w:t>
      </w:r>
      <w:r w:rsidRPr="007938E0">
        <w:rPr>
          <w:rFonts w:ascii="Arial" w:hAnsi="Arial" w:cs="Arial"/>
          <w:sz w:val="24"/>
          <w:szCs w:val="24"/>
        </w:rPr>
        <w:t>"Project Area" for</w:t>
      </w:r>
      <w:r w:rsidR="0064626A" w:rsidRPr="007938E0">
        <w:rPr>
          <w:rFonts w:ascii="Arial" w:hAnsi="Arial" w:cs="Arial"/>
          <w:sz w:val="24"/>
          <w:szCs w:val="24"/>
        </w:rPr>
        <w:t xml:space="preserve"> the purposes of this Exhibit </w:t>
      </w:r>
      <w:r w:rsidRPr="007938E0">
        <w:rPr>
          <w:rFonts w:ascii="Arial" w:hAnsi="Arial" w:cs="Arial"/>
          <w:sz w:val="24"/>
          <w:szCs w:val="24"/>
        </w:rPr>
        <w:t xml:space="preserve">means the City of </w:t>
      </w:r>
      <w:r w:rsidR="009779DF">
        <w:rPr>
          <w:rFonts w:ascii="Arial" w:hAnsi="Arial" w:cs="Arial"/>
          <w:sz w:val="24"/>
          <w:szCs w:val="24"/>
        </w:rPr>
        <w:t>Columbia</w:t>
      </w:r>
      <w:r w:rsidRPr="007938E0">
        <w:rPr>
          <w:rFonts w:ascii="Arial" w:hAnsi="Arial" w:cs="Arial"/>
          <w:sz w:val="24"/>
          <w:szCs w:val="24"/>
        </w:rPr>
        <w:t>.</w:t>
      </w:r>
    </w:p>
    <w:p w14:paraId="0CA3A26A" w14:textId="77777777" w:rsidR="0064626A" w:rsidRPr="007938E0" w:rsidRDefault="0064626A" w:rsidP="00C0103A">
      <w:pPr>
        <w:tabs>
          <w:tab w:val="left" w:pos="360"/>
        </w:tabs>
        <w:spacing w:before="100" w:beforeAutospacing="1" w:after="100" w:afterAutospacing="1"/>
        <w:ind w:left="720" w:hanging="720"/>
        <w:contextualSpacing/>
        <w:jc w:val="both"/>
        <w:rPr>
          <w:rFonts w:ascii="Arial" w:hAnsi="Arial" w:cs="Arial"/>
          <w:sz w:val="24"/>
          <w:szCs w:val="24"/>
        </w:rPr>
      </w:pPr>
    </w:p>
    <w:p w14:paraId="7C9A74B3" w14:textId="598C06ED" w:rsidR="00B73032" w:rsidRDefault="0064626A" w:rsidP="00B73032">
      <w:pPr>
        <w:numPr>
          <w:ilvl w:val="1"/>
          <w:numId w:val="1"/>
        </w:numPr>
        <w:tabs>
          <w:tab w:val="left" w:pos="360"/>
        </w:tabs>
        <w:spacing w:before="100" w:beforeAutospacing="1" w:after="100" w:afterAutospacing="1"/>
        <w:ind w:left="720" w:hanging="720"/>
        <w:contextualSpacing/>
        <w:jc w:val="both"/>
        <w:rPr>
          <w:rFonts w:ascii="Arial" w:hAnsi="Arial" w:cs="Arial"/>
          <w:sz w:val="24"/>
          <w:szCs w:val="24"/>
        </w:rPr>
      </w:pPr>
      <w:r w:rsidRPr="007938E0">
        <w:rPr>
          <w:rFonts w:ascii="Arial" w:hAnsi="Arial" w:cs="Arial"/>
          <w:sz w:val="24"/>
          <w:szCs w:val="24"/>
          <w:u w:val="single"/>
        </w:rPr>
        <w:t>Compliance with Applicable Federal Regulations</w:t>
      </w:r>
      <w:r w:rsidRPr="007938E0">
        <w:rPr>
          <w:rFonts w:ascii="Arial" w:hAnsi="Arial" w:cs="Arial"/>
          <w:sz w:val="24"/>
          <w:szCs w:val="24"/>
        </w:rPr>
        <w:t>. GRANTEE shall comply with the provisions of 24 CFR 570, Subpart J and K, describing other program requirements, and the provisions of 2 CFR 200, relating to the uniform administrative requirements in the acceptance and use of Federal funds.</w:t>
      </w:r>
    </w:p>
    <w:p w14:paraId="5592C977" w14:textId="77777777" w:rsidR="00184BC1" w:rsidRDefault="00184BC1" w:rsidP="00184BC1">
      <w:pPr>
        <w:pStyle w:val="ListParagraph"/>
        <w:rPr>
          <w:rFonts w:ascii="Arial" w:hAnsi="Arial" w:cs="Arial"/>
          <w:sz w:val="24"/>
          <w:szCs w:val="24"/>
        </w:rPr>
      </w:pPr>
    </w:p>
    <w:p w14:paraId="7B47D0B0" w14:textId="77777777" w:rsidR="00184BC1" w:rsidRDefault="00184BC1" w:rsidP="00184BC1">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rPr>
        <w:t>If GRANTEE receives State or City funds, GRANTEE shall, in the use of those State or City funds adhere to the applicable Federal laws, regulations, policies, guidelines or requirements, herein specified, only in so far as adherence thereto would not be prohibited by valid City or State laws, regulations, policies, guidelines or requirements.</w:t>
      </w:r>
    </w:p>
    <w:p w14:paraId="4C7C0012" w14:textId="77777777" w:rsidR="00B73032" w:rsidRPr="007938E0" w:rsidRDefault="00B73032" w:rsidP="00B73032">
      <w:pPr>
        <w:tabs>
          <w:tab w:val="left" w:pos="360"/>
        </w:tabs>
        <w:spacing w:before="100" w:beforeAutospacing="1" w:after="100" w:afterAutospacing="1"/>
        <w:ind w:left="720" w:hanging="720"/>
        <w:contextualSpacing/>
        <w:jc w:val="both"/>
        <w:rPr>
          <w:rFonts w:ascii="Arial" w:hAnsi="Arial" w:cs="Arial"/>
          <w:sz w:val="24"/>
          <w:szCs w:val="24"/>
        </w:rPr>
      </w:pPr>
    </w:p>
    <w:p w14:paraId="4C1B94EB" w14:textId="77777777" w:rsidR="0064626A" w:rsidRPr="007938E0" w:rsidRDefault="0064626A" w:rsidP="00C0103A">
      <w:pPr>
        <w:numPr>
          <w:ilvl w:val="1"/>
          <w:numId w:val="1"/>
        </w:numPr>
        <w:tabs>
          <w:tab w:val="left" w:pos="360"/>
        </w:tabs>
        <w:spacing w:before="100" w:beforeAutospacing="1" w:after="100" w:afterAutospacing="1"/>
        <w:ind w:left="720" w:hanging="720"/>
        <w:contextualSpacing/>
        <w:jc w:val="both"/>
        <w:rPr>
          <w:rFonts w:ascii="Arial" w:hAnsi="Arial" w:cs="Arial"/>
          <w:sz w:val="24"/>
          <w:szCs w:val="24"/>
        </w:rPr>
      </w:pPr>
      <w:r w:rsidRPr="007938E0">
        <w:rPr>
          <w:rFonts w:ascii="Arial" w:hAnsi="Arial" w:cs="Arial"/>
          <w:sz w:val="24"/>
          <w:szCs w:val="24"/>
          <w:u w:val="single"/>
        </w:rPr>
        <w:t>Applicable Federal Civil Rights Laws and Executive Orders</w:t>
      </w:r>
      <w:r w:rsidRPr="007938E0">
        <w:rPr>
          <w:rFonts w:ascii="Arial" w:hAnsi="Arial" w:cs="Arial"/>
          <w:sz w:val="24"/>
          <w:szCs w:val="24"/>
        </w:rPr>
        <w:t>. In providing the services and work set forth in this Agreement, GRANTEE shall carry out its work in a manner that will permit full compliance by City and strict adherence by GRANTEE with the following:</w:t>
      </w:r>
    </w:p>
    <w:p w14:paraId="592CE82A" w14:textId="77777777" w:rsidR="00C0103A" w:rsidRPr="007938E0" w:rsidRDefault="00C0103A" w:rsidP="00C0103A">
      <w:pPr>
        <w:tabs>
          <w:tab w:val="left" w:pos="360"/>
        </w:tabs>
        <w:spacing w:before="100" w:beforeAutospacing="1" w:after="100" w:afterAutospacing="1"/>
        <w:contextualSpacing/>
        <w:jc w:val="both"/>
        <w:rPr>
          <w:rFonts w:ascii="Arial" w:hAnsi="Arial" w:cs="Arial"/>
          <w:sz w:val="24"/>
          <w:szCs w:val="24"/>
        </w:rPr>
      </w:pPr>
    </w:p>
    <w:p w14:paraId="2AD38992" w14:textId="77777777" w:rsidR="0064626A" w:rsidRPr="007938E0" w:rsidRDefault="0064626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t>Title VI of the Civil Rights Act of 1964, which provides that no person shall, on the grounds of race, color, or national origin, be excluded from participation in, be denied the benefits of, or be subjected to discrimination under any program or activity receiving federal financial assistance; and</w:t>
      </w:r>
    </w:p>
    <w:p w14:paraId="1051789D" w14:textId="77777777" w:rsidR="00C0103A" w:rsidRPr="007938E0" w:rsidRDefault="00C0103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t>The Housing and Community Development Acts of 1974 and 1977, as amended, which provide that no person in the United States shall be excluded from participation in, be denied the benefits of, or be subjected to, discrimination under any program or activity funded, in whole or in part, with funds made available pursuant to said acts; and</w:t>
      </w:r>
    </w:p>
    <w:p w14:paraId="208CD8F5" w14:textId="77777777" w:rsidR="00C0103A" w:rsidRPr="007938E0" w:rsidRDefault="00C0103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t>Title VIII of the Civil Rights Act of 1968 (The Fair Housing Act) which prohibits discrimination in the sale, rental, and financing of housing and the provision of brokerage services because of race, color, religion, sex, sexual orientation, actual or perceived gender identity, national origin, handicap, or familial status; and</w:t>
      </w:r>
    </w:p>
    <w:p w14:paraId="566BF223" w14:textId="77777777" w:rsidR="00C0103A" w:rsidRPr="007938E0" w:rsidRDefault="00C0103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t>Executive Order 11063, as amended by executive Order 12259, which provides for equal opportunity in housing and related facilities provided by federal financial assistance. This order and its implementing regulations require the Department of Housing and Urban Development to take all actions necessary to prevent discrimination because of race, color, religion, sex, or national origin in the use, occupancy, sale, leasing, rental or other disposition of residential property assisted with Federal loans, advances, grants or contributions; and</w:t>
      </w:r>
    </w:p>
    <w:p w14:paraId="06351F55" w14:textId="77777777" w:rsidR="00C0103A" w:rsidRPr="007938E0" w:rsidRDefault="00C0103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t>Executive Order 11246, (as amended by Executive Orders 11375 and 12086 and further amendments) Equal Opportunity Under HUD Contracts and HUD-assisted Construction Contracts, which requires that GRANTEEs and sub-recipients, and their sub-contractor, agree not to discriminate against any employee or applicant for employment because of race, color, creed, religion, sex, sexual orientation, actual or perceived gender identity, or national origin; and</w:t>
      </w:r>
    </w:p>
    <w:p w14:paraId="3EFFA199" w14:textId="77777777" w:rsidR="00C0103A" w:rsidRPr="007938E0" w:rsidRDefault="00C0103A" w:rsidP="00C0103A">
      <w:pPr>
        <w:numPr>
          <w:ilvl w:val="2"/>
          <w:numId w:val="1"/>
        </w:numPr>
        <w:tabs>
          <w:tab w:val="left" w:pos="360"/>
        </w:tabs>
        <w:spacing w:before="100" w:beforeAutospacing="1" w:after="100" w:afterAutospacing="1"/>
        <w:ind w:hanging="360"/>
        <w:contextualSpacing/>
        <w:jc w:val="both"/>
        <w:rPr>
          <w:rFonts w:ascii="Arial" w:hAnsi="Arial" w:cs="Arial"/>
          <w:sz w:val="24"/>
          <w:szCs w:val="24"/>
        </w:rPr>
      </w:pPr>
      <w:r w:rsidRPr="007938E0">
        <w:rPr>
          <w:rFonts w:ascii="Arial" w:hAnsi="Arial" w:cs="Arial"/>
          <w:sz w:val="24"/>
          <w:szCs w:val="24"/>
        </w:rPr>
        <w:lastRenderedPageBreak/>
        <w:t>Section 3 of the Housing and Community Development Act of 1968 Pertaining to Employment Opportunities for Lower-Income Persons (12 U.S.C. 1701u), requires that, to the greatest extent feasible on projects financed by HUD, a sub-recipient must:</w:t>
      </w:r>
    </w:p>
    <w:p w14:paraId="6FE73A61" w14:textId="77777777" w:rsidR="00C0103A" w:rsidRPr="007938E0" w:rsidRDefault="00C0103A" w:rsidP="00C0103A">
      <w:pPr>
        <w:tabs>
          <w:tab w:val="left" w:pos="360"/>
        </w:tabs>
        <w:spacing w:before="100" w:beforeAutospacing="1" w:after="100" w:afterAutospacing="1"/>
        <w:ind w:left="1080"/>
        <w:contextualSpacing/>
        <w:jc w:val="both"/>
        <w:rPr>
          <w:rFonts w:ascii="Arial" w:hAnsi="Arial" w:cs="Arial"/>
          <w:sz w:val="24"/>
          <w:szCs w:val="24"/>
        </w:rPr>
      </w:pPr>
    </w:p>
    <w:p w14:paraId="14B7863D" w14:textId="1AAF865F" w:rsidR="00C0103A" w:rsidRPr="007938E0" w:rsidRDefault="00C0103A" w:rsidP="00C0103A">
      <w:pPr>
        <w:numPr>
          <w:ilvl w:val="3"/>
          <w:numId w:val="1"/>
        </w:numPr>
        <w:tabs>
          <w:tab w:val="left" w:pos="360"/>
        </w:tabs>
        <w:spacing w:before="100" w:beforeAutospacing="1" w:after="100" w:afterAutospacing="1"/>
        <w:ind w:left="1440" w:hanging="360"/>
        <w:contextualSpacing/>
        <w:jc w:val="both"/>
        <w:rPr>
          <w:rFonts w:ascii="Arial" w:hAnsi="Arial" w:cs="Arial"/>
          <w:sz w:val="24"/>
          <w:szCs w:val="24"/>
        </w:rPr>
      </w:pPr>
      <w:r w:rsidRPr="007938E0">
        <w:rPr>
          <w:rFonts w:ascii="Arial" w:hAnsi="Arial" w:cs="Arial"/>
          <w:sz w:val="24"/>
          <w:szCs w:val="24"/>
        </w:rPr>
        <w:t xml:space="preserve">provide opportunities for training and employment, arising in connection with a housing rehabilitation (including reduction and abatement of lead-based paint hazards), housing construction, or other public construction project, are given to persons with household income that is at or below 80% of the median income for </w:t>
      </w:r>
      <w:r w:rsidR="009779DF">
        <w:rPr>
          <w:rFonts w:ascii="Arial" w:hAnsi="Arial" w:cs="Arial"/>
          <w:sz w:val="24"/>
          <w:szCs w:val="24"/>
        </w:rPr>
        <w:t>Columbia</w:t>
      </w:r>
      <w:r w:rsidRPr="007938E0">
        <w:rPr>
          <w:rFonts w:ascii="Arial" w:hAnsi="Arial" w:cs="Arial"/>
          <w:sz w:val="24"/>
          <w:szCs w:val="24"/>
        </w:rPr>
        <w:t xml:space="preserve"> as defined by the Secretary of HUD residing within the </w:t>
      </w:r>
      <w:r w:rsidR="009779DF">
        <w:rPr>
          <w:rFonts w:ascii="Arial" w:hAnsi="Arial" w:cs="Arial"/>
          <w:sz w:val="24"/>
          <w:szCs w:val="24"/>
        </w:rPr>
        <w:t>Columbia</w:t>
      </w:r>
      <w:r w:rsidRPr="007938E0">
        <w:rPr>
          <w:rFonts w:ascii="Arial" w:hAnsi="Arial" w:cs="Arial"/>
          <w:sz w:val="24"/>
          <w:szCs w:val="24"/>
        </w:rPr>
        <w:t xml:space="preserve"> metropolitan area. Where feasible, priority should be given to residents within the service area of the project or the neighborhood in which the project is located who have household income that is at or below 80% of the median income for </w:t>
      </w:r>
      <w:r w:rsidR="009779DF">
        <w:rPr>
          <w:rFonts w:ascii="Arial" w:hAnsi="Arial" w:cs="Arial"/>
          <w:sz w:val="24"/>
          <w:szCs w:val="24"/>
        </w:rPr>
        <w:t>Columbia</w:t>
      </w:r>
      <w:r w:rsidRPr="007938E0">
        <w:rPr>
          <w:rFonts w:ascii="Arial" w:hAnsi="Arial" w:cs="Arial"/>
          <w:sz w:val="24"/>
          <w:szCs w:val="24"/>
        </w:rPr>
        <w:t xml:space="preserve"> as defined by the Secretary of HUD, and to participants in other HUD programs who have household income that is at or below 80% of the median income for the </w:t>
      </w:r>
      <w:r w:rsidR="009779DF">
        <w:rPr>
          <w:rFonts w:ascii="Arial" w:hAnsi="Arial" w:cs="Arial"/>
          <w:sz w:val="24"/>
          <w:szCs w:val="24"/>
        </w:rPr>
        <w:t>Columbia</w:t>
      </w:r>
      <w:r w:rsidRPr="007938E0">
        <w:rPr>
          <w:rFonts w:ascii="Arial" w:hAnsi="Arial" w:cs="Arial"/>
          <w:sz w:val="24"/>
          <w:szCs w:val="24"/>
        </w:rPr>
        <w:t xml:space="preserve"> area; and,</w:t>
      </w:r>
    </w:p>
    <w:p w14:paraId="5FA59452" w14:textId="39835123" w:rsidR="00C0103A" w:rsidRPr="007938E0" w:rsidRDefault="00C0103A" w:rsidP="00C0103A">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 xml:space="preserve">award contracts for work undertaken in connection with housing rehabilitation (including reduction and abatement of lead-based paint hazards), housing construction, or other public construction project to business concerns that provide economic opportunities for persons residing within the metropolitan area in which the CDBG-funded project is located and have household income that is at or below 80% of the median income for </w:t>
      </w:r>
      <w:r w:rsidR="009779DF">
        <w:rPr>
          <w:rFonts w:ascii="Arial" w:hAnsi="Arial" w:cs="Arial"/>
          <w:sz w:val="24"/>
          <w:szCs w:val="24"/>
        </w:rPr>
        <w:t>Columbia</w:t>
      </w:r>
      <w:r w:rsidRPr="007938E0">
        <w:rPr>
          <w:rFonts w:ascii="Arial" w:hAnsi="Arial" w:cs="Arial"/>
          <w:sz w:val="24"/>
          <w:szCs w:val="24"/>
        </w:rPr>
        <w:t xml:space="preserve"> as defined by the Secretary of HUD. Where feasible, priority should be given to business concerns, that provide economic opportunities to residents within the service area or the neighborhood in which the project is located who have household income that is at or below 80% of the median income for </w:t>
      </w:r>
      <w:r w:rsidR="009779DF">
        <w:rPr>
          <w:rFonts w:ascii="Arial" w:hAnsi="Arial" w:cs="Arial"/>
          <w:sz w:val="24"/>
          <w:szCs w:val="24"/>
        </w:rPr>
        <w:t>Columbia</w:t>
      </w:r>
      <w:r w:rsidRPr="007938E0">
        <w:rPr>
          <w:rFonts w:ascii="Arial" w:hAnsi="Arial" w:cs="Arial"/>
          <w:sz w:val="24"/>
          <w:szCs w:val="24"/>
        </w:rPr>
        <w:t xml:space="preserve"> as defined by the Secretary of HUD, and to participants in other HUD programs who have household income that is at or below 80% of the median income for that area, and</w:t>
      </w:r>
    </w:p>
    <w:p w14:paraId="6E37F689" w14:textId="77777777" w:rsidR="00C0103A" w:rsidRPr="007938E0" w:rsidRDefault="00C0103A" w:rsidP="00C0103A">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self-certify whether they are a Section 3 business, employs Section 3 residents, or subcontracts with business that provide opportunities to low-income persons when an award of $200,000 or more of HUD funding is provided for housing rehabilitation, housing construction, or other public construction projects, and/or $100,000 or more to sub-contractors, and</w:t>
      </w:r>
    </w:p>
    <w:p w14:paraId="73F9E36C" w14:textId="77777777" w:rsidR="00C0103A" w:rsidRPr="007938E0" w:rsidRDefault="00C0103A" w:rsidP="00C0103A">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at a minimum, provide documentation on federal compliance, reporting and outreach efforts; and</w:t>
      </w:r>
    </w:p>
    <w:p w14:paraId="5496979A" w14:textId="77777777" w:rsidR="00C0103A" w:rsidRPr="007938E0" w:rsidRDefault="00C0103A" w:rsidP="00C0103A">
      <w:pPr>
        <w:tabs>
          <w:tab w:val="left" w:pos="360"/>
        </w:tabs>
        <w:ind w:left="1080"/>
        <w:contextualSpacing/>
        <w:jc w:val="both"/>
        <w:rPr>
          <w:rFonts w:ascii="Arial" w:hAnsi="Arial" w:cs="Arial"/>
          <w:sz w:val="24"/>
          <w:szCs w:val="24"/>
        </w:rPr>
      </w:pPr>
    </w:p>
    <w:p w14:paraId="3042C20B"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Section 504 of the Rehabilitation Act of 1973 (Pub. L. 93-112), as amended, and implementing regulations when published which specify that no otherwise qualified individual shall, solely by reason of his or her handicap, be excluded from participation (including employment), denied program benefits, or subjected to discrimination under any program or activity receiving Federal assistance; and</w:t>
      </w:r>
    </w:p>
    <w:p w14:paraId="0C1AE456" w14:textId="77777777" w:rsidR="00C0103A" w:rsidRPr="007938E0" w:rsidRDefault="00C0103A" w:rsidP="00C0103A">
      <w:pPr>
        <w:tabs>
          <w:tab w:val="left" w:pos="360"/>
        </w:tabs>
        <w:ind w:left="1080"/>
        <w:contextualSpacing/>
        <w:jc w:val="both"/>
        <w:rPr>
          <w:rFonts w:ascii="Arial" w:hAnsi="Arial" w:cs="Arial"/>
          <w:sz w:val="24"/>
          <w:szCs w:val="24"/>
        </w:rPr>
      </w:pPr>
    </w:p>
    <w:p w14:paraId="7EB65D87"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The Age Discrimination Act of 1975, (Pub. L. 94-135), as amended, and implementing regulations when published for effect which provides that no person shall be excluded from participation, denied program benefits, or subjected to discrimination on the basis of age under any program or activity receiving Federal assistance; and</w:t>
      </w:r>
    </w:p>
    <w:p w14:paraId="352EFD47" w14:textId="77777777" w:rsidR="00C0103A" w:rsidRPr="007938E0" w:rsidRDefault="00C0103A" w:rsidP="00C0103A">
      <w:pPr>
        <w:tabs>
          <w:tab w:val="left" w:pos="360"/>
        </w:tabs>
        <w:ind w:left="1080"/>
        <w:contextualSpacing/>
        <w:jc w:val="both"/>
        <w:rPr>
          <w:rFonts w:ascii="Arial" w:hAnsi="Arial" w:cs="Arial"/>
          <w:sz w:val="24"/>
          <w:szCs w:val="24"/>
        </w:rPr>
      </w:pPr>
    </w:p>
    <w:p w14:paraId="66B762BC" w14:textId="1D841996"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 xml:space="preserve">The requirements relating to Minority-Owned and Women-Owned Business Enterprises set forth in </w:t>
      </w:r>
      <w:r w:rsidR="00A8429A">
        <w:rPr>
          <w:rFonts w:ascii="Arial" w:hAnsi="Arial" w:cs="Arial"/>
          <w:sz w:val="24"/>
          <w:szCs w:val="24"/>
        </w:rPr>
        <w:t xml:space="preserve">2 CFR 200.321, </w:t>
      </w:r>
      <w:r w:rsidRPr="007938E0">
        <w:rPr>
          <w:rFonts w:ascii="Arial" w:hAnsi="Arial" w:cs="Arial"/>
          <w:sz w:val="24"/>
          <w:szCs w:val="24"/>
        </w:rPr>
        <w:t xml:space="preserve">Executive Order No. 11625 of October 13, 1971, 36 Fed. Reg. 19967, as amended by Executive Order No. 12007 of August 22, </w:t>
      </w:r>
      <w:r w:rsidRPr="007938E0">
        <w:rPr>
          <w:rFonts w:ascii="Arial" w:hAnsi="Arial" w:cs="Arial"/>
          <w:sz w:val="24"/>
          <w:szCs w:val="24"/>
        </w:rPr>
        <w:lastRenderedPageBreak/>
        <w:t>1977, 42 Fed Reg. 42839; and Executive Order No. 12432 of July 14, 1983, 48 Fed. Reg., 32551; and Executive Order No. 12138 of May 18, 1979, 44 Fed. Reg. 29637, a sub-recipient must exercise affirmative outreach efforts when soliciting bids for service or construction when the federal funds received by the sub-recipient or sub-contractor exceeds $10,000 and when the sub-recipient or sub-contractor is a for-profit organization/business; and</w:t>
      </w:r>
    </w:p>
    <w:p w14:paraId="2453AD40" w14:textId="77777777" w:rsidR="00C0103A" w:rsidRPr="007938E0" w:rsidRDefault="00C0103A" w:rsidP="00C0103A">
      <w:pPr>
        <w:tabs>
          <w:tab w:val="left" w:pos="360"/>
        </w:tabs>
        <w:ind w:left="1080"/>
        <w:contextualSpacing/>
        <w:jc w:val="both"/>
        <w:rPr>
          <w:rFonts w:ascii="Arial" w:hAnsi="Arial" w:cs="Arial"/>
          <w:sz w:val="24"/>
          <w:szCs w:val="24"/>
        </w:rPr>
      </w:pPr>
    </w:p>
    <w:p w14:paraId="392A39C1"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The Uniform Federal Accessibility Standards set forth in 24 CFR, Part 40, Appendix A; and</w:t>
      </w:r>
    </w:p>
    <w:p w14:paraId="23F68239" w14:textId="77777777" w:rsidR="00C0103A" w:rsidRPr="007938E0" w:rsidRDefault="00C0103A" w:rsidP="00C0103A">
      <w:pPr>
        <w:tabs>
          <w:tab w:val="left" w:pos="360"/>
        </w:tabs>
        <w:ind w:left="1080"/>
        <w:contextualSpacing/>
        <w:jc w:val="both"/>
        <w:rPr>
          <w:rFonts w:ascii="Arial" w:hAnsi="Arial" w:cs="Arial"/>
          <w:sz w:val="24"/>
          <w:szCs w:val="24"/>
        </w:rPr>
      </w:pPr>
    </w:p>
    <w:p w14:paraId="42EE87C5"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Americans with Disabilities Act of 1990 (ADA), which prohibits discrimination on the basis of disability in employment and in public accommodations and commercial facilities and defines the range of conditions that qualify as disabilities, and the reasonable accommodations that must be made to assure equality of opportunity, full participation, independent living, and economic self-sufficiency for persons with disabilities. It further provides that discrimination includes a failure to design and construct facilities for first occupancy no later than January 26, 1993, that are readily accessible to and usable by individuals with disabilities. Further, the ADA requires the removal of architectural barriers and communication barriers that are structural in nature in existing facilities where such removal is readily achievable – that is easily accomplishable and able to be carried out without much difficulty or expense; and</w:t>
      </w:r>
    </w:p>
    <w:p w14:paraId="53DB59D8" w14:textId="77777777" w:rsidR="00C0103A" w:rsidRPr="007938E0" w:rsidRDefault="00C0103A" w:rsidP="00C0103A">
      <w:pPr>
        <w:tabs>
          <w:tab w:val="left" w:pos="360"/>
        </w:tabs>
        <w:ind w:left="1080"/>
        <w:contextualSpacing/>
        <w:jc w:val="both"/>
        <w:rPr>
          <w:rFonts w:ascii="Arial" w:hAnsi="Arial" w:cs="Arial"/>
          <w:sz w:val="24"/>
          <w:szCs w:val="24"/>
        </w:rPr>
      </w:pPr>
    </w:p>
    <w:p w14:paraId="2112A609"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The provisions of 24 CFR Part 24, relating to the employment, engagement of services, awarding of contracts, or funding of any GRANTEE’s or sub during any period of debarment, suspension or placement in ineligibility status; and</w:t>
      </w:r>
    </w:p>
    <w:p w14:paraId="637876B1" w14:textId="77777777" w:rsidR="00C0103A" w:rsidRPr="007938E0" w:rsidRDefault="00C0103A" w:rsidP="00C0103A">
      <w:pPr>
        <w:tabs>
          <w:tab w:val="left" w:pos="360"/>
        </w:tabs>
        <w:ind w:left="1080"/>
        <w:contextualSpacing/>
        <w:jc w:val="both"/>
        <w:rPr>
          <w:rFonts w:ascii="Arial" w:hAnsi="Arial" w:cs="Arial"/>
          <w:sz w:val="24"/>
          <w:szCs w:val="24"/>
        </w:rPr>
      </w:pPr>
    </w:p>
    <w:p w14:paraId="1F6E52D3"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 xml:space="preserve">Section 104(b) of Title I of the Housing and Community Development Act of 1974, as amended (42 U.S.C. 5301 </w:t>
      </w:r>
      <w:r w:rsidRPr="007938E0">
        <w:rPr>
          <w:rFonts w:ascii="Arial" w:hAnsi="Arial" w:cs="Arial"/>
          <w:i/>
          <w:sz w:val="24"/>
          <w:szCs w:val="24"/>
        </w:rPr>
        <w:t>et. seq</w:t>
      </w:r>
      <w:r w:rsidRPr="007938E0">
        <w:rPr>
          <w:rFonts w:ascii="Arial" w:hAnsi="Arial" w:cs="Arial"/>
          <w:sz w:val="24"/>
          <w:szCs w:val="24"/>
        </w:rPr>
        <w:t>.). This law provides that any grant under section 106 shall be made only if the GRANTEE certifies to the satisfaction of the Secretary of HUD that the GRANTEE will, among other things, affirmatively further fair housing; and</w:t>
      </w:r>
    </w:p>
    <w:p w14:paraId="666C190E" w14:textId="77777777" w:rsidR="00C0103A" w:rsidRPr="007938E0" w:rsidRDefault="00C0103A" w:rsidP="00C0103A">
      <w:pPr>
        <w:tabs>
          <w:tab w:val="left" w:pos="360"/>
        </w:tabs>
        <w:ind w:left="1080"/>
        <w:contextualSpacing/>
        <w:jc w:val="both"/>
        <w:rPr>
          <w:rFonts w:ascii="Arial" w:hAnsi="Arial" w:cs="Arial"/>
          <w:sz w:val="24"/>
          <w:szCs w:val="24"/>
        </w:rPr>
      </w:pPr>
    </w:p>
    <w:p w14:paraId="5C0A14F6"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 xml:space="preserve">Section 109 of Title I of the Housing and Community Development Act of 1974, as amended (42 U.S.C. 5301 </w:t>
      </w:r>
      <w:r w:rsidRPr="007938E0">
        <w:rPr>
          <w:rFonts w:ascii="Arial" w:hAnsi="Arial" w:cs="Arial"/>
          <w:i/>
          <w:sz w:val="24"/>
          <w:szCs w:val="24"/>
        </w:rPr>
        <w:t>et. seq</w:t>
      </w:r>
      <w:r w:rsidRPr="007938E0">
        <w:rPr>
          <w:rFonts w:ascii="Arial" w:hAnsi="Arial" w:cs="Arial"/>
          <w:sz w:val="24"/>
          <w:szCs w:val="24"/>
        </w:rPr>
        <w:t xml:space="preserve">., particularly 42 U.S.C. 6101 </w:t>
      </w:r>
      <w:proofErr w:type="spellStart"/>
      <w:r w:rsidRPr="007938E0">
        <w:rPr>
          <w:rFonts w:ascii="Arial" w:hAnsi="Arial" w:cs="Arial"/>
          <w:i/>
          <w:sz w:val="24"/>
          <w:szCs w:val="24"/>
        </w:rPr>
        <w:t>ets</w:t>
      </w:r>
      <w:proofErr w:type="spellEnd"/>
      <w:r w:rsidRPr="007938E0">
        <w:rPr>
          <w:rFonts w:ascii="Arial" w:hAnsi="Arial" w:cs="Arial"/>
          <w:i/>
          <w:sz w:val="24"/>
          <w:szCs w:val="24"/>
        </w:rPr>
        <w:t>. seq</w:t>
      </w:r>
      <w:r w:rsidRPr="007938E0">
        <w:rPr>
          <w:rFonts w:ascii="Arial" w:hAnsi="Arial" w:cs="Arial"/>
          <w:sz w:val="24"/>
          <w:szCs w:val="24"/>
        </w:rPr>
        <w:t xml:space="preserve">., and 29 U.S.C. 794) and further amendments, which mandates that no person on the grounds of race, color, national origin, sex, sexual orientation, actual or perceived gender identity, age or religion shall be excluded from participation, denied the benefits of, or otherwise be subject to discrimination under any activity funded in whole or part with CDBG funds. </w:t>
      </w:r>
    </w:p>
    <w:p w14:paraId="09D30A45" w14:textId="77777777" w:rsidR="00C0103A" w:rsidRPr="007938E0" w:rsidRDefault="00C0103A" w:rsidP="00C0103A">
      <w:pPr>
        <w:tabs>
          <w:tab w:val="left" w:pos="360"/>
        </w:tabs>
        <w:ind w:left="1080"/>
        <w:contextualSpacing/>
        <w:jc w:val="both"/>
        <w:rPr>
          <w:rFonts w:ascii="Arial" w:hAnsi="Arial" w:cs="Arial"/>
          <w:sz w:val="24"/>
          <w:szCs w:val="24"/>
        </w:rPr>
      </w:pPr>
    </w:p>
    <w:p w14:paraId="003DB7EF" w14:textId="77777777" w:rsidR="00C0103A" w:rsidRPr="007938E0" w:rsidRDefault="00C0103A" w:rsidP="00C0103A">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rPr>
        <w:t>Architectural Barriers Act of 1968 requires that federally funded buildings and other facilities, as defined in 24 CFR 40.2 and 41 CFR 101-19.602(2), to be designed, constructed, or altered in accordance with standards that insure accessibility to, and use by, physically handicapped people.</w:t>
      </w:r>
    </w:p>
    <w:p w14:paraId="5AC60E82" w14:textId="77777777" w:rsidR="0064626A" w:rsidRPr="007938E0" w:rsidRDefault="0064626A" w:rsidP="00C0103A">
      <w:pPr>
        <w:pStyle w:val="ListParagraph"/>
        <w:contextualSpacing/>
        <w:rPr>
          <w:rFonts w:ascii="Arial" w:hAnsi="Arial" w:cs="Arial"/>
          <w:sz w:val="24"/>
          <w:szCs w:val="24"/>
        </w:rPr>
      </w:pPr>
    </w:p>
    <w:p w14:paraId="7B278464" w14:textId="77777777" w:rsidR="0064626A" w:rsidRPr="007938E0" w:rsidRDefault="00C0103A" w:rsidP="00C0103A">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Relocation and Real Property Acquisition</w:t>
      </w:r>
      <w:r w:rsidRPr="007938E0">
        <w:rPr>
          <w:rFonts w:ascii="Arial" w:hAnsi="Arial" w:cs="Arial"/>
          <w:sz w:val="24"/>
          <w:szCs w:val="24"/>
        </w:rPr>
        <w:t xml:space="preserve">. GRANTEE shall comply with (a) the Uniform Relocation Assistance and Real Property Acquisition Policies Act of 1970, as amended (URA) and 24 CFR 570.606(b); and (b) the requirements of 24 CFR 570.606(c) governing the Residential </w:t>
      </w:r>
      <w:proofErr w:type="spellStart"/>
      <w:r w:rsidRPr="007938E0">
        <w:rPr>
          <w:rFonts w:ascii="Arial" w:hAnsi="Arial" w:cs="Arial"/>
          <w:sz w:val="24"/>
          <w:szCs w:val="24"/>
        </w:rPr>
        <w:t>Antidisplacement</w:t>
      </w:r>
      <w:proofErr w:type="spellEnd"/>
      <w:r w:rsidRPr="007938E0">
        <w:rPr>
          <w:rFonts w:ascii="Arial" w:hAnsi="Arial" w:cs="Arial"/>
          <w:sz w:val="24"/>
          <w:szCs w:val="24"/>
        </w:rPr>
        <w:t xml:space="preserve"> and Relocation Assistance Plan (Plan) under section </w:t>
      </w:r>
      <w:r w:rsidRPr="007938E0">
        <w:rPr>
          <w:rFonts w:ascii="Arial" w:hAnsi="Arial" w:cs="Arial"/>
          <w:sz w:val="24"/>
          <w:szCs w:val="24"/>
        </w:rPr>
        <w:lastRenderedPageBreak/>
        <w:t>104(d) of the HCD Act. Under the URA and the Plan, the sub-recipient must provide relocation assistance to persons (families, individuals, businesses, non-profit organizations and farms) that are displaced as a direct result of acquisition, rehabilitation, demolition or conversion for a CDBG-assisted project. All property occupants must be issued certain notices on a timely basis. The Plan also requires the one-for-one replacement of any occupied or vacant occupiable low/moderate-income housing that is demolished or converted to another use in connection with a CDBG-assisted project. Finally, the Plan requires the identification of the steps that will be taken to minimize displacement.</w:t>
      </w:r>
    </w:p>
    <w:p w14:paraId="360EDF86" w14:textId="77777777" w:rsidR="00C0103A" w:rsidRPr="007938E0" w:rsidRDefault="00C0103A" w:rsidP="00C0103A">
      <w:pPr>
        <w:tabs>
          <w:tab w:val="left" w:pos="360"/>
        </w:tabs>
        <w:spacing w:before="100" w:beforeAutospacing="1" w:after="100" w:afterAutospacing="1"/>
        <w:ind w:left="720"/>
        <w:contextualSpacing/>
        <w:jc w:val="both"/>
        <w:rPr>
          <w:rFonts w:ascii="Arial" w:hAnsi="Arial" w:cs="Arial"/>
          <w:sz w:val="24"/>
          <w:szCs w:val="24"/>
        </w:rPr>
      </w:pPr>
    </w:p>
    <w:p w14:paraId="73A1E06F" w14:textId="2B20BF44" w:rsidR="00C0103A" w:rsidRPr="007938E0" w:rsidRDefault="00C0103A" w:rsidP="00C0103A">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Political Reform Act</w:t>
      </w:r>
      <w:r w:rsidRPr="007938E0">
        <w:rPr>
          <w:rFonts w:ascii="Arial" w:hAnsi="Arial" w:cs="Arial"/>
          <w:sz w:val="24"/>
          <w:szCs w:val="24"/>
        </w:rPr>
        <w:t>. GRANTEE shall comply with the applicable provisions of the Political Reform Act of 1974, as amended, relating to conflicts of interest</w:t>
      </w:r>
      <w:r w:rsidR="009779DF">
        <w:rPr>
          <w:rFonts w:ascii="Arial" w:hAnsi="Arial" w:cs="Arial"/>
          <w:sz w:val="24"/>
          <w:szCs w:val="24"/>
        </w:rPr>
        <w:t>.</w:t>
      </w:r>
      <w:r w:rsidRPr="007938E0">
        <w:rPr>
          <w:rFonts w:ascii="Arial" w:hAnsi="Arial" w:cs="Arial"/>
          <w:sz w:val="24"/>
          <w:szCs w:val="24"/>
        </w:rPr>
        <w:t xml:space="preserve"> GRANTEE will promptly advise City of the facts and circumstances concerning any disclosure made to it or any information obtained by it relating to conflicts of interest.</w:t>
      </w:r>
    </w:p>
    <w:p w14:paraId="242BEA7A" w14:textId="77777777" w:rsidR="00C0103A" w:rsidRPr="007938E0" w:rsidRDefault="00C0103A" w:rsidP="00C0103A">
      <w:pPr>
        <w:pStyle w:val="ListParagraph"/>
        <w:rPr>
          <w:rFonts w:ascii="Arial" w:hAnsi="Arial" w:cs="Arial"/>
          <w:sz w:val="24"/>
          <w:szCs w:val="24"/>
        </w:rPr>
      </w:pPr>
    </w:p>
    <w:p w14:paraId="43CF1061" w14:textId="77777777" w:rsidR="00C0103A" w:rsidRPr="007938E0" w:rsidRDefault="00C0103A" w:rsidP="00C0103A">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Flood Disaster Protection</w:t>
      </w:r>
      <w:r w:rsidRPr="007938E0">
        <w:rPr>
          <w:rFonts w:ascii="Arial" w:hAnsi="Arial" w:cs="Arial"/>
          <w:sz w:val="24"/>
          <w:szCs w:val="24"/>
        </w:rPr>
        <w:t>. Notwithstanding any other provision of this Agreement, GRANTEE shall comply with the Flood Disaster Protection Act of 1973, as amended (P.L. 93-234), and the standards issued thereto. No portion of the monies to be paid to GRANTEE pursuant to this Agreement shall be used for acquisition or construction purposes as defined under Section 3(a) of said Act, for use in an area identified by the Secretary of HUD as having special flood hazards which is located in an area not in compliance with the requirements for participation in the National Flood Insurance Program pursuant to Section 201(d) of said Act; and the use of any of said moneys for such acquisition or construction in such identified areas in communities then participating in the National Flood Insurance Program shall be subject to the mandatory purchase of flood insurance requirements of Section 102(a) of said Act.</w:t>
      </w:r>
    </w:p>
    <w:p w14:paraId="79B42CB5" w14:textId="77777777" w:rsidR="00C0103A" w:rsidRPr="007938E0" w:rsidRDefault="00C0103A" w:rsidP="00C0103A">
      <w:pPr>
        <w:pStyle w:val="ListParagraph"/>
        <w:contextualSpacing/>
        <w:rPr>
          <w:rFonts w:ascii="Arial" w:hAnsi="Arial" w:cs="Arial"/>
          <w:sz w:val="24"/>
          <w:szCs w:val="24"/>
        </w:rPr>
      </w:pPr>
    </w:p>
    <w:p w14:paraId="102402EF" w14:textId="77777777" w:rsidR="00C0103A" w:rsidRPr="007938E0" w:rsidRDefault="0019621B" w:rsidP="0019621B">
      <w:pPr>
        <w:tabs>
          <w:tab w:val="left" w:pos="360"/>
        </w:tabs>
        <w:ind w:left="720"/>
        <w:contextualSpacing/>
        <w:jc w:val="both"/>
        <w:rPr>
          <w:rFonts w:ascii="Arial" w:hAnsi="Arial" w:cs="Arial"/>
          <w:sz w:val="24"/>
          <w:szCs w:val="24"/>
        </w:rPr>
      </w:pPr>
      <w:r w:rsidRPr="007938E0">
        <w:rPr>
          <w:rFonts w:ascii="Arial" w:hAnsi="Arial" w:cs="Arial"/>
          <w:sz w:val="24"/>
          <w:szCs w:val="24"/>
        </w:rPr>
        <w:t xml:space="preserve">Any contract or Agreement for the sale, lease, or other transfer of land acquired, cleared or improved with assistance provided under this Agreement shall contain, if such land is located in an area identified by the Secretary of HUD as having special flood hazards and in which the sale of flood insurance has been made available under the National Flood Insurance Act of 1968, as amended, 42 U.S.C. 4001, </w:t>
      </w:r>
      <w:r w:rsidRPr="007938E0">
        <w:rPr>
          <w:rFonts w:ascii="Arial" w:hAnsi="Arial" w:cs="Arial"/>
          <w:sz w:val="24"/>
          <w:szCs w:val="24"/>
          <w:u w:val="single"/>
        </w:rPr>
        <w:t>et. seq.</w:t>
      </w:r>
      <w:r w:rsidRPr="007938E0">
        <w:rPr>
          <w:rFonts w:ascii="Arial" w:hAnsi="Arial" w:cs="Arial"/>
          <w:sz w:val="24"/>
          <w:szCs w:val="24"/>
        </w:rPr>
        <w:t>, provisions obligating the transferee and its successors or assigns to obtain and maintain, during the ownership of such land, such flood insurance as required with respect to financial assistance for acquisition or construction purposes under Section 102(a) of the Flood Disaster Protection Act of 1973, as amended. Such provisions shall be required notwithstanding the fact that the construction on such land is not itself funded with assistance provided under this Agreement.</w:t>
      </w:r>
    </w:p>
    <w:p w14:paraId="509142F2" w14:textId="77777777" w:rsidR="00C0103A" w:rsidRPr="007938E0" w:rsidRDefault="00C0103A" w:rsidP="0019621B">
      <w:pPr>
        <w:pStyle w:val="ListParagraph"/>
        <w:contextualSpacing/>
        <w:rPr>
          <w:rFonts w:ascii="Arial" w:hAnsi="Arial" w:cs="Arial"/>
          <w:sz w:val="24"/>
          <w:szCs w:val="24"/>
        </w:rPr>
      </w:pPr>
    </w:p>
    <w:p w14:paraId="6FC219A0" w14:textId="7890AEB6" w:rsidR="00C0103A"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Equal Employment Opportunity</w:t>
      </w:r>
      <w:r w:rsidRPr="007938E0">
        <w:rPr>
          <w:rFonts w:ascii="Arial" w:hAnsi="Arial" w:cs="Arial"/>
          <w:sz w:val="24"/>
          <w:szCs w:val="24"/>
        </w:rPr>
        <w:t xml:space="preserve">. In providing the work and services herein specified, GRANTEE shall not discriminate against any employee or applicant for employment because of race, color, religion, sex or national origin. GRANTEE shall </w:t>
      </w:r>
      <w:proofErr w:type="gramStart"/>
      <w:r w:rsidRPr="007938E0">
        <w:rPr>
          <w:rFonts w:ascii="Arial" w:hAnsi="Arial" w:cs="Arial"/>
          <w:sz w:val="24"/>
          <w:szCs w:val="24"/>
        </w:rPr>
        <w:t>take action</w:t>
      </w:r>
      <w:proofErr w:type="gramEnd"/>
      <w:r w:rsidRPr="007938E0">
        <w:rPr>
          <w:rFonts w:ascii="Arial" w:hAnsi="Arial" w:cs="Arial"/>
          <w:sz w:val="24"/>
          <w:szCs w:val="24"/>
        </w:rPr>
        <w:t xml:space="preserve"> to ensure that applicants for employment are employed, and that employees are treated during employment, without regard to their race, color, religion, sex, sexual orientation, actual or perceived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GRANTEE shall post in conspicuous places, available to employees and applicants for employment, notices to be provided by </w:t>
      </w:r>
      <w:r w:rsidRPr="007938E0">
        <w:rPr>
          <w:rFonts w:ascii="Arial" w:hAnsi="Arial" w:cs="Arial"/>
          <w:sz w:val="24"/>
          <w:szCs w:val="24"/>
        </w:rPr>
        <w:lastRenderedPageBreak/>
        <w:t>the Federal Government or the City setting forth the provisions of this non-discrimination clause. GRANTEE shall state that all qualified applicants will receive consideration for employment without regard to race, color, religion, sex, sexual orientation, actual or perceived gender identity, or national origin. GRANTEE shall incorporate the foregoing requirements of this paragraph in all of its contracts for program work, and will require all of its GRANTEE’s for such work to incorporate such requirements in all subcontracts for program work.</w:t>
      </w:r>
    </w:p>
    <w:p w14:paraId="045DF58E"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rPr>
      </w:pPr>
    </w:p>
    <w:p w14:paraId="23A207C1"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Prohibition of and Elimination of Lead-Based Paint Hazard</w:t>
      </w:r>
      <w:r w:rsidRPr="007938E0">
        <w:rPr>
          <w:rFonts w:ascii="Arial" w:hAnsi="Arial" w:cs="Arial"/>
          <w:sz w:val="24"/>
          <w:szCs w:val="24"/>
        </w:rPr>
        <w:t>. Notwithstanding any other provision, GRANTEE agrees to comply with the regulations issued by the Secretary of HUD set forth in 24 CFR 570.608 and all applicable rules and orders issued there under which prohibit the use of lead-based paint in residential structures undergoing federally assisted construction or rehabilitation and require the elimination of lead-based paint hazards. Every contract or subcontract, including painting, pursuant to which such federally assisted construction or rehabilitation is performed, shall include appropriate provisions prohibiting the use of lead-based paint.</w:t>
      </w:r>
    </w:p>
    <w:p w14:paraId="1A102F50" w14:textId="77777777" w:rsidR="0019621B" w:rsidRPr="007938E0" w:rsidRDefault="0019621B" w:rsidP="0019621B">
      <w:pPr>
        <w:pStyle w:val="ListParagraph"/>
        <w:rPr>
          <w:rFonts w:ascii="Arial" w:hAnsi="Arial" w:cs="Arial"/>
          <w:sz w:val="24"/>
          <w:szCs w:val="24"/>
        </w:rPr>
      </w:pPr>
    </w:p>
    <w:p w14:paraId="79F3CC60"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 xml:space="preserve">Compliance </w:t>
      </w:r>
      <w:proofErr w:type="gramStart"/>
      <w:r w:rsidRPr="007938E0">
        <w:rPr>
          <w:rFonts w:ascii="Arial" w:hAnsi="Arial" w:cs="Arial"/>
          <w:sz w:val="24"/>
          <w:szCs w:val="24"/>
          <w:u w:val="single"/>
        </w:rPr>
        <w:t>With</w:t>
      </w:r>
      <w:proofErr w:type="gramEnd"/>
      <w:r w:rsidRPr="007938E0">
        <w:rPr>
          <w:rFonts w:ascii="Arial" w:hAnsi="Arial" w:cs="Arial"/>
          <w:sz w:val="24"/>
          <w:szCs w:val="24"/>
          <w:u w:val="single"/>
        </w:rPr>
        <w:t xml:space="preserve"> Clean Air and Water Acts</w:t>
      </w:r>
      <w:r w:rsidRPr="007938E0">
        <w:rPr>
          <w:rFonts w:ascii="Arial" w:hAnsi="Arial" w:cs="Arial"/>
          <w:sz w:val="24"/>
          <w:szCs w:val="24"/>
        </w:rPr>
        <w:t xml:space="preserve">. This Agreement is subject to 42 U.S.C 1857, </w:t>
      </w:r>
      <w:r w:rsidRPr="007938E0">
        <w:rPr>
          <w:rFonts w:ascii="Arial" w:hAnsi="Arial" w:cs="Arial"/>
          <w:sz w:val="24"/>
          <w:szCs w:val="24"/>
          <w:u w:val="single"/>
        </w:rPr>
        <w:t>et seq</w:t>
      </w:r>
      <w:r w:rsidRPr="007938E0">
        <w:rPr>
          <w:rFonts w:ascii="Arial" w:hAnsi="Arial" w:cs="Arial"/>
          <w:sz w:val="24"/>
          <w:szCs w:val="24"/>
        </w:rPr>
        <w:t xml:space="preserve">., and 33 U.S.C 1251 </w:t>
      </w:r>
      <w:r w:rsidRPr="007938E0">
        <w:rPr>
          <w:rFonts w:ascii="Arial" w:hAnsi="Arial" w:cs="Arial"/>
          <w:sz w:val="24"/>
          <w:szCs w:val="24"/>
          <w:u w:val="single"/>
        </w:rPr>
        <w:t>et seq</w:t>
      </w:r>
      <w:r w:rsidRPr="007938E0">
        <w:rPr>
          <w:rFonts w:ascii="Arial" w:hAnsi="Arial" w:cs="Arial"/>
          <w:sz w:val="24"/>
          <w:szCs w:val="24"/>
        </w:rPr>
        <w:t>., and the regulations issued pursuant thereto, therefore, GRANTEE agrees as follows:</w:t>
      </w:r>
    </w:p>
    <w:p w14:paraId="18F4878C" w14:textId="77777777" w:rsidR="0019621B" w:rsidRPr="007938E0" w:rsidRDefault="0019621B" w:rsidP="0019621B">
      <w:pPr>
        <w:pStyle w:val="ListParagraph"/>
        <w:rPr>
          <w:rFonts w:ascii="Arial" w:hAnsi="Arial" w:cs="Arial"/>
          <w:sz w:val="24"/>
          <w:szCs w:val="24"/>
        </w:rPr>
      </w:pPr>
    </w:p>
    <w:p w14:paraId="7800C552"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rPr>
        <w:t>GRANTEE stipulates that any facility to be utilized in the performance of any non-exempt contract or subcontract is not listed on the List of Violating Facilities issued by the Environmental Protection Agency (EPA) pursuant to 40 CFR 15.20;</w:t>
      </w:r>
    </w:p>
    <w:p w14:paraId="509ED539" w14:textId="77777777" w:rsidR="0019621B" w:rsidRPr="007938E0" w:rsidRDefault="0019621B" w:rsidP="0019621B">
      <w:pPr>
        <w:tabs>
          <w:tab w:val="left" w:pos="360"/>
        </w:tabs>
        <w:spacing w:after="100" w:afterAutospacing="1"/>
        <w:ind w:left="1080"/>
        <w:contextualSpacing/>
        <w:jc w:val="both"/>
        <w:rPr>
          <w:rFonts w:ascii="Arial" w:hAnsi="Arial" w:cs="Arial"/>
          <w:sz w:val="24"/>
          <w:szCs w:val="24"/>
        </w:rPr>
      </w:pPr>
    </w:p>
    <w:p w14:paraId="7866BE0D"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rPr>
        <w:t>GRANTEE agrees to comply with all the requirements of Section 114 of the Clean Air Act, as amended, (42 U.S.C. 1857c-8) and Section 308 of the Federal Water Pollution Control Act, (33 U.S.C. 1318), as amended, relating to inspection, monitoring, entry, reports, and information, as well as all other requirements specified in said Section 114 and Section 308, and all regulations and guidelines issued there under;</w:t>
      </w:r>
    </w:p>
    <w:p w14:paraId="1895EA77" w14:textId="77777777" w:rsidR="0019621B" w:rsidRPr="007938E0" w:rsidRDefault="0019621B" w:rsidP="0019621B">
      <w:pPr>
        <w:pStyle w:val="ListParagraph"/>
        <w:rPr>
          <w:rFonts w:ascii="Arial" w:hAnsi="Arial" w:cs="Arial"/>
          <w:sz w:val="24"/>
          <w:szCs w:val="24"/>
        </w:rPr>
      </w:pPr>
    </w:p>
    <w:p w14:paraId="4A50A6E1"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rPr>
        <w:t>GRANTEE stipulates that as a condition for the award of the contract, prompt notice will be given of any notification received from the DIRECTOR Office of Federal Activities, EPA, indicating that a facility utilized or to be utilized for the contract is under consideration to be listed on the EPA List of Violating Facilities;</w:t>
      </w:r>
    </w:p>
    <w:p w14:paraId="131EE2CD" w14:textId="77777777" w:rsidR="0019621B" w:rsidRPr="007938E0" w:rsidRDefault="0019621B" w:rsidP="0019621B">
      <w:pPr>
        <w:pStyle w:val="ListParagraph"/>
        <w:rPr>
          <w:rFonts w:ascii="Arial" w:hAnsi="Arial" w:cs="Arial"/>
          <w:sz w:val="24"/>
          <w:szCs w:val="24"/>
        </w:rPr>
      </w:pPr>
    </w:p>
    <w:p w14:paraId="22EF9CE1"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rPr>
        <w:t>GRANTEE agrees that criteria and requirements in subparagraphs (a) through (d) of this Section 1.09 will be included in every non-exempt subcontract and GRANTEE shall take such action as the City or HUD requires as a means of enforcing such provisions.</w:t>
      </w:r>
    </w:p>
    <w:p w14:paraId="5D622560" w14:textId="77777777" w:rsidR="0019621B" w:rsidRPr="007938E0" w:rsidRDefault="0019621B" w:rsidP="0019621B">
      <w:pPr>
        <w:pStyle w:val="ListParagraph"/>
        <w:rPr>
          <w:rFonts w:ascii="Arial" w:hAnsi="Arial" w:cs="Arial"/>
          <w:sz w:val="24"/>
          <w:szCs w:val="24"/>
        </w:rPr>
      </w:pPr>
    </w:p>
    <w:p w14:paraId="1940B236" w14:textId="77777777" w:rsidR="0019621B" w:rsidRPr="007938E0" w:rsidRDefault="0019621B" w:rsidP="0019621B">
      <w:pPr>
        <w:pStyle w:val="ListParagraph"/>
        <w:rPr>
          <w:rFonts w:ascii="Arial" w:hAnsi="Arial" w:cs="Arial"/>
          <w:sz w:val="24"/>
          <w:szCs w:val="24"/>
        </w:rPr>
      </w:pPr>
      <w:r w:rsidRPr="007938E0">
        <w:rPr>
          <w:rFonts w:ascii="Arial" w:hAnsi="Arial" w:cs="Arial"/>
          <w:sz w:val="24"/>
          <w:szCs w:val="24"/>
        </w:rPr>
        <w:t>In no event shall any amount of the assistance provided under this Agreement be utilized with respect to a facility which has given rise to a conviction under Section 113 (c)(1) of the Clean Air Act or Section 309(c) of the Federal Water Pollution Control Act.</w:t>
      </w:r>
    </w:p>
    <w:p w14:paraId="62018F64" w14:textId="77777777" w:rsidR="0019621B" w:rsidRPr="007938E0" w:rsidRDefault="0019621B" w:rsidP="0019621B">
      <w:pPr>
        <w:pStyle w:val="ListParagraph"/>
        <w:rPr>
          <w:rFonts w:ascii="Arial" w:hAnsi="Arial" w:cs="Arial"/>
          <w:sz w:val="24"/>
          <w:szCs w:val="24"/>
        </w:rPr>
      </w:pPr>
    </w:p>
    <w:p w14:paraId="70E6DDFF" w14:textId="20686F08"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Federal Labor Standards Provisions</w:t>
      </w:r>
      <w:r w:rsidR="00045DA4">
        <w:rPr>
          <w:rFonts w:ascii="Arial" w:hAnsi="Arial" w:cs="Arial"/>
          <w:sz w:val="24"/>
          <w:szCs w:val="24"/>
          <w:u w:val="single"/>
        </w:rPr>
        <w:t xml:space="preserve"> (Davis-Bacon Wage Rates)</w:t>
      </w:r>
      <w:r w:rsidRPr="007938E0">
        <w:rPr>
          <w:rFonts w:ascii="Arial" w:hAnsi="Arial" w:cs="Arial"/>
          <w:sz w:val="24"/>
          <w:szCs w:val="24"/>
        </w:rPr>
        <w:t xml:space="preserve">. Except with respect to the rehabilitation of residential property designed for residential use for less than eight (8) </w:t>
      </w:r>
      <w:r w:rsidRPr="007938E0">
        <w:rPr>
          <w:rFonts w:ascii="Arial" w:hAnsi="Arial" w:cs="Arial"/>
          <w:sz w:val="24"/>
          <w:szCs w:val="24"/>
        </w:rPr>
        <w:lastRenderedPageBreak/>
        <w:t xml:space="preserve">families, GRANTEE and all GRANTEE’s engaged under contracts in excess of Two Thousand Dollars ($2,000) for the construction, completion or repair of any building or work financed in whole or in part with assistance provided under this agreement, shall comply with HUD requirements pertaining to such contracts and the applicable requirements of the regulations of the Department of Labor under 29 CFR Parts 3, 5 and 5a, governing the payment of wages and the ratio of apprentices and trainees to journeymen; provided, that if wage rates higher than those required under such regulations are imposed by state or local law, nothing hereunder is intended to relieve GRANTEE of its obligation, if any, to require payment of the higher rates. GRANTEE shall cause or require to be inserted in full, in all such contracts subject to such regulations, provisions meeting the requirements of 29 CFR 5.5 and for such contracts in excess of </w:t>
      </w:r>
      <w:proofErr w:type="gramStart"/>
      <w:r w:rsidRPr="007938E0">
        <w:rPr>
          <w:rFonts w:ascii="Arial" w:hAnsi="Arial" w:cs="Arial"/>
          <w:sz w:val="24"/>
          <w:szCs w:val="24"/>
        </w:rPr>
        <w:t>Twenty Five</w:t>
      </w:r>
      <w:proofErr w:type="gramEnd"/>
      <w:r w:rsidRPr="007938E0">
        <w:rPr>
          <w:rFonts w:ascii="Arial" w:hAnsi="Arial" w:cs="Arial"/>
          <w:sz w:val="24"/>
          <w:szCs w:val="24"/>
        </w:rPr>
        <w:t xml:space="preserve"> Thousand Dollars ($25,000), 29 CFR 5a.3.</w:t>
      </w:r>
    </w:p>
    <w:p w14:paraId="63DF6457"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u w:val="single"/>
        </w:rPr>
      </w:pPr>
    </w:p>
    <w:p w14:paraId="0C193C3E"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u w:val="single"/>
        </w:rPr>
      </w:pPr>
      <w:r w:rsidRPr="007938E0">
        <w:rPr>
          <w:rFonts w:ascii="Arial" w:hAnsi="Arial" w:cs="Arial"/>
          <w:sz w:val="24"/>
          <w:szCs w:val="24"/>
        </w:rPr>
        <w:t>GRANTEE shall not award any contract or subcontract which is otherwise in compliance with this Agreement to any person or sub-contractor who is at the time ineligible under the provisions of any applicable regulations of the Department of Labor to receive an award of such contract.</w:t>
      </w:r>
    </w:p>
    <w:p w14:paraId="3F28D9CF"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rPr>
      </w:pPr>
    </w:p>
    <w:p w14:paraId="22F8E322" w14:textId="412E606D" w:rsidR="00025AC4" w:rsidRPr="00025AC4" w:rsidRDefault="000F067C" w:rsidP="0019621B">
      <w:pPr>
        <w:numPr>
          <w:ilvl w:val="1"/>
          <w:numId w:val="1"/>
        </w:numPr>
        <w:tabs>
          <w:tab w:val="left" w:pos="360"/>
        </w:tabs>
        <w:spacing w:after="100" w:afterAutospacing="1"/>
        <w:ind w:left="720" w:hanging="720"/>
        <w:contextualSpacing/>
        <w:jc w:val="both"/>
        <w:rPr>
          <w:rFonts w:ascii="Arial" w:hAnsi="Arial" w:cs="Arial"/>
          <w:sz w:val="24"/>
          <w:szCs w:val="24"/>
        </w:rPr>
      </w:pPr>
      <w:r>
        <w:rPr>
          <w:rFonts w:ascii="Arial" w:hAnsi="Arial" w:cs="Arial"/>
          <w:sz w:val="24"/>
          <w:szCs w:val="24"/>
          <w:u w:val="single"/>
        </w:rPr>
        <w:t>Copeland “Anti-Kick</w:t>
      </w:r>
      <w:r w:rsidR="00025AC4">
        <w:rPr>
          <w:rFonts w:ascii="Arial" w:hAnsi="Arial" w:cs="Arial"/>
          <w:sz w:val="24"/>
          <w:szCs w:val="24"/>
          <w:u w:val="single"/>
        </w:rPr>
        <w:t>back” Act (all contracts in excess of $2,000)</w:t>
      </w:r>
    </w:p>
    <w:p w14:paraId="2B35FD9B" w14:textId="5A4E536B" w:rsidR="00025AC4" w:rsidRPr="00045DA4" w:rsidRDefault="009176E4" w:rsidP="00025AC4">
      <w:pPr>
        <w:tabs>
          <w:tab w:val="left" w:pos="360"/>
        </w:tabs>
        <w:spacing w:after="100" w:afterAutospacing="1"/>
        <w:ind w:left="720"/>
        <w:contextualSpacing/>
        <w:jc w:val="both"/>
        <w:rPr>
          <w:rFonts w:ascii="Arial" w:hAnsi="Arial" w:cs="Arial"/>
          <w:sz w:val="24"/>
          <w:szCs w:val="24"/>
        </w:rPr>
      </w:pPr>
      <w:r w:rsidRPr="00045DA4">
        <w:rPr>
          <w:rFonts w:ascii="Arial" w:hAnsi="Arial" w:cs="Arial"/>
          <w:sz w:val="24"/>
          <w:szCs w:val="24"/>
        </w:rPr>
        <w:t xml:space="preserve">GRANTEE must comply </w:t>
      </w:r>
      <w:r w:rsidR="00045DA4" w:rsidRPr="00045DA4">
        <w:rPr>
          <w:rFonts w:ascii="Arial" w:hAnsi="Arial" w:cs="Arial"/>
          <w:sz w:val="24"/>
          <w:szCs w:val="24"/>
        </w:rPr>
        <w:t>with the Copeland “Anti-Kickback” Act (18 U.S.C., Section 874), as supplemented in Department of Labor regulations (29 CFR part 3, “Contractors and Subcontractors on Public Building or Public Work Financed in Whole or in Part by Loans or Grants from the United States”), and that it is the Contractor’s responsibility to ensure compliance by any and all subcontractors performing work under this Contract</w:t>
      </w:r>
    </w:p>
    <w:p w14:paraId="5BC5E9D5" w14:textId="77777777" w:rsidR="00025AC4" w:rsidRPr="00025AC4" w:rsidRDefault="00025AC4" w:rsidP="00025AC4">
      <w:pPr>
        <w:tabs>
          <w:tab w:val="left" w:pos="360"/>
        </w:tabs>
        <w:spacing w:after="100" w:afterAutospacing="1"/>
        <w:ind w:left="720"/>
        <w:contextualSpacing/>
        <w:jc w:val="both"/>
        <w:rPr>
          <w:rFonts w:ascii="Arial" w:hAnsi="Arial" w:cs="Arial"/>
          <w:sz w:val="24"/>
          <w:szCs w:val="24"/>
        </w:rPr>
      </w:pPr>
    </w:p>
    <w:p w14:paraId="1D38B863" w14:textId="3B861C4F"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Nondiscrimination Under Title VI of the Civil Rights Act of 1964</w:t>
      </w:r>
      <w:r w:rsidRPr="007938E0">
        <w:rPr>
          <w:rFonts w:ascii="Arial" w:hAnsi="Arial" w:cs="Arial"/>
          <w:sz w:val="24"/>
          <w:szCs w:val="24"/>
        </w:rPr>
        <w:t xml:space="preserve">. GRANTEE under this Agreement shall be subject to the requirements of Title VI of the Civil Rights Act of 1964 (P.L. 88-352) and HUD regulations with respect thereto including the regulations under </w:t>
      </w:r>
      <w:r w:rsidRPr="007938E0">
        <w:rPr>
          <w:rFonts w:ascii="Arial" w:hAnsi="Arial" w:cs="Arial"/>
          <w:b/>
          <w:sz w:val="24"/>
          <w:szCs w:val="24"/>
        </w:rPr>
        <w:t>24 CFR PART 1</w:t>
      </w:r>
      <w:r w:rsidRPr="007938E0">
        <w:rPr>
          <w:rFonts w:ascii="Arial" w:hAnsi="Arial" w:cs="Arial"/>
          <w:sz w:val="24"/>
          <w:szCs w:val="24"/>
        </w:rPr>
        <w:t>. In the sale, lease or other transfer of land acquired, cleared or improved with assistance provided under this Agreement, GRANTEE shall cause or require a covenant running with the land to be inserted in the deed or lease for such transfer, prohibiting discrimination upon the basis of race, color, religion, sex, sexual orientation, actual or perceived gender identity, or national origin, in the sale, lease or rental, or in the use of occupancy of such land or any improvements erected or to be erected thereon, and providing that GRANTEE and the United States are beneficiaries of and entitled to enforce such covenant. GRANTEE, in providing the services and work it is to provide pursuant to this Agreement, agrees to take such measures as are necessary to enforce such covenant and will not itself so discriminate.</w:t>
      </w:r>
    </w:p>
    <w:p w14:paraId="24066DCE"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rPr>
      </w:pPr>
    </w:p>
    <w:p w14:paraId="25AF4863"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Interest of Certain Federal Officials</w:t>
      </w:r>
      <w:r w:rsidRPr="007938E0">
        <w:rPr>
          <w:rFonts w:ascii="Arial" w:hAnsi="Arial" w:cs="Arial"/>
          <w:sz w:val="24"/>
          <w:szCs w:val="24"/>
        </w:rPr>
        <w:t>. No member of, or Delegate to, the Congress of the United States, and no Resident Commissioner, shall be admitted to any share or part of this Agreement or to any benefit arising from same.</w:t>
      </w:r>
    </w:p>
    <w:p w14:paraId="5078BB8E" w14:textId="77777777" w:rsidR="0019621B" w:rsidRPr="007938E0" w:rsidRDefault="0019621B" w:rsidP="0019621B">
      <w:pPr>
        <w:pStyle w:val="ListParagraph"/>
        <w:rPr>
          <w:rFonts w:ascii="Arial" w:hAnsi="Arial" w:cs="Arial"/>
          <w:sz w:val="24"/>
          <w:szCs w:val="24"/>
        </w:rPr>
      </w:pPr>
    </w:p>
    <w:p w14:paraId="42C01C44"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Conflict of Interest</w:t>
      </w:r>
      <w:r w:rsidRPr="007938E0">
        <w:rPr>
          <w:rFonts w:ascii="Arial" w:hAnsi="Arial" w:cs="Arial"/>
          <w:sz w:val="24"/>
          <w:szCs w:val="24"/>
        </w:rPr>
        <w:t>. No officer, employee, or agent of City who exercises any functions or responsibilities with respect to the CDBG program or to the services and work to be performed by GRANTEE pursuant to this Agreement, during such officer's, employee's, or agent's tenure or for one (1) year thereafter, shall have any interest, direct or indirect, in this Agreement or the proceeds thereof.</w:t>
      </w:r>
    </w:p>
    <w:p w14:paraId="5F0922D6" w14:textId="77777777" w:rsidR="0019621B" w:rsidRPr="007938E0" w:rsidRDefault="0019621B" w:rsidP="0019621B">
      <w:pPr>
        <w:pStyle w:val="ListParagraph"/>
        <w:rPr>
          <w:rFonts w:ascii="Arial" w:hAnsi="Arial" w:cs="Arial"/>
          <w:sz w:val="24"/>
          <w:szCs w:val="24"/>
        </w:rPr>
      </w:pPr>
    </w:p>
    <w:p w14:paraId="7C8A462D" w14:textId="77777777" w:rsidR="0019621B" w:rsidRPr="007938E0" w:rsidRDefault="0019621B" w:rsidP="0019621B">
      <w:pPr>
        <w:pStyle w:val="ListParagraph"/>
        <w:rPr>
          <w:rFonts w:ascii="Arial" w:hAnsi="Arial" w:cs="Arial"/>
          <w:sz w:val="24"/>
          <w:szCs w:val="24"/>
        </w:rPr>
      </w:pPr>
      <w:r w:rsidRPr="007938E0">
        <w:rPr>
          <w:rFonts w:ascii="Arial" w:hAnsi="Arial" w:cs="Arial"/>
          <w:sz w:val="24"/>
          <w:szCs w:val="24"/>
        </w:rPr>
        <w:t>GRANTEE shall incorporate or cause to be incorporated in every contract required to be in writing a provision prohibiting such interest pursuant to the purposes of this section.</w:t>
      </w:r>
    </w:p>
    <w:p w14:paraId="5FB335C4" w14:textId="77777777" w:rsidR="0019621B" w:rsidRPr="007938E0" w:rsidRDefault="0019621B" w:rsidP="0019621B">
      <w:pPr>
        <w:pStyle w:val="ListParagraph"/>
        <w:rPr>
          <w:rFonts w:ascii="Arial" w:hAnsi="Arial" w:cs="Arial"/>
          <w:sz w:val="24"/>
          <w:szCs w:val="24"/>
        </w:rPr>
      </w:pPr>
    </w:p>
    <w:p w14:paraId="79227F22" w14:textId="77777777" w:rsidR="0019621B"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Prohibition Against Payments of Bonuses or Commissions</w:t>
      </w:r>
      <w:r w:rsidRPr="007938E0">
        <w:rPr>
          <w:rFonts w:ascii="Arial" w:hAnsi="Arial" w:cs="Arial"/>
          <w:sz w:val="24"/>
          <w:szCs w:val="24"/>
        </w:rPr>
        <w:t>. The assistance provided under this Agreement shall not be used in the payment of any bonus or commission for the purpose of obtaining HUD approval of the application for such assistance, or HUD approval of applications for additional assistance, or any other approval or concurrence of HUD required under this Agreement, Title I of the Housing and Community Development Acts of 1974 or 1977, or HUD regulations with respect thereto; provided, however that reasonable fees or bona fide technical, consultant, managerial or other such services, other than actual solicitation, are not hereby prohibited if otherwise eligible as program costs.</w:t>
      </w:r>
    </w:p>
    <w:p w14:paraId="3B7440E0" w14:textId="77777777" w:rsidR="00B73032" w:rsidRPr="007938E0" w:rsidRDefault="00B73032" w:rsidP="00B73032">
      <w:pPr>
        <w:tabs>
          <w:tab w:val="left" w:pos="360"/>
        </w:tabs>
        <w:spacing w:after="100" w:afterAutospacing="1"/>
        <w:ind w:left="720"/>
        <w:contextualSpacing/>
        <w:jc w:val="both"/>
        <w:rPr>
          <w:rFonts w:ascii="Arial" w:hAnsi="Arial" w:cs="Arial"/>
          <w:sz w:val="24"/>
          <w:szCs w:val="24"/>
        </w:rPr>
      </w:pPr>
    </w:p>
    <w:p w14:paraId="75E99F39"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Copyrights</w:t>
      </w:r>
      <w:r w:rsidRPr="007938E0">
        <w:rPr>
          <w:rFonts w:ascii="Arial" w:hAnsi="Arial" w:cs="Arial"/>
          <w:sz w:val="24"/>
          <w:szCs w:val="24"/>
        </w:rPr>
        <w:t>. If this Agreement results in a book or other copyrightable material, the author is free to copyright the work, but HUD reserves a royalty-free, nonexclusive and irrevocable license to reproduce, publish, or otherwise use, and to authorize others to use, all copyrighted material and all material which can be copyrighted.</w:t>
      </w:r>
    </w:p>
    <w:p w14:paraId="1E8E4359" w14:textId="77777777" w:rsidR="0019621B" w:rsidRPr="007938E0" w:rsidRDefault="0019621B" w:rsidP="0019621B">
      <w:pPr>
        <w:tabs>
          <w:tab w:val="left" w:pos="360"/>
        </w:tabs>
        <w:spacing w:after="100" w:afterAutospacing="1"/>
        <w:ind w:left="720"/>
        <w:contextualSpacing/>
        <w:jc w:val="both"/>
        <w:rPr>
          <w:rFonts w:ascii="Arial" w:hAnsi="Arial" w:cs="Arial"/>
          <w:sz w:val="24"/>
          <w:szCs w:val="24"/>
        </w:rPr>
      </w:pPr>
    </w:p>
    <w:p w14:paraId="52BA67B3"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Patents</w:t>
      </w:r>
      <w:r w:rsidRPr="007938E0">
        <w:rPr>
          <w:rFonts w:ascii="Arial" w:hAnsi="Arial" w:cs="Arial"/>
          <w:sz w:val="24"/>
          <w:szCs w:val="24"/>
        </w:rPr>
        <w:t>. Any discovery or invention arising out of or developed in the course of work aided by this Agreement shall be promptly and fully reported to City and HUD for determination by HUD as to whether patent protection on such invention or discovery will be sought and how the rights in the invention or discovery, including the rights under any patent issued thereon, shall be disposed of and administered, in order to protect the public interest.</w:t>
      </w:r>
    </w:p>
    <w:p w14:paraId="54292AF9" w14:textId="77777777" w:rsidR="0019621B" w:rsidRPr="007938E0" w:rsidRDefault="0019621B" w:rsidP="0019621B">
      <w:pPr>
        <w:pStyle w:val="ListParagraph"/>
        <w:rPr>
          <w:rFonts w:ascii="Arial" w:hAnsi="Arial" w:cs="Arial"/>
          <w:sz w:val="24"/>
          <w:szCs w:val="24"/>
        </w:rPr>
      </w:pPr>
    </w:p>
    <w:p w14:paraId="4A627058" w14:textId="77777777" w:rsidR="0019621B" w:rsidRPr="007938E0" w:rsidRDefault="0019621B" w:rsidP="0019621B">
      <w:pPr>
        <w:numPr>
          <w:ilvl w:val="1"/>
          <w:numId w:val="1"/>
        </w:numPr>
        <w:tabs>
          <w:tab w:val="left" w:pos="360"/>
        </w:tabs>
        <w:spacing w:after="100" w:afterAutospacing="1"/>
        <w:ind w:left="720" w:hanging="720"/>
        <w:contextualSpacing/>
        <w:jc w:val="both"/>
        <w:rPr>
          <w:rFonts w:ascii="Arial" w:hAnsi="Arial" w:cs="Arial"/>
          <w:sz w:val="24"/>
          <w:szCs w:val="24"/>
        </w:rPr>
      </w:pPr>
      <w:r w:rsidRPr="007938E0">
        <w:rPr>
          <w:rFonts w:ascii="Arial" w:hAnsi="Arial" w:cs="Arial"/>
          <w:sz w:val="24"/>
          <w:szCs w:val="24"/>
          <w:u w:val="single"/>
        </w:rPr>
        <w:t>Political Activity.</w:t>
      </w:r>
    </w:p>
    <w:p w14:paraId="3D7CAA4C" w14:textId="77777777" w:rsidR="0019621B" w:rsidRPr="007938E0" w:rsidRDefault="0019621B" w:rsidP="0019621B">
      <w:pPr>
        <w:pStyle w:val="ListParagraph"/>
        <w:rPr>
          <w:rFonts w:ascii="Arial" w:hAnsi="Arial" w:cs="Arial"/>
          <w:sz w:val="24"/>
          <w:szCs w:val="24"/>
        </w:rPr>
      </w:pPr>
    </w:p>
    <w:p w14:paraId="729E06A4"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u w:val="single"/>
        </w:rPr>
        <w:t>Partisan Activity Prohibited.</w:t>
      </w:r>
      <w:r w:rsidRPr="007938E0">
        <w:rPr>
          <w:rFonts w:ascii="Arial" w:hAnsi="Arial" w:cs="Arial"/>
          <w:sz w:val="24"/>
          <w:szCs w:val="24"/>
        </w:rPr>
        <w:t xml:space="preserve"> No funds provided in this Agreement shall be used for any partisan political activity or to further the election or defeat of any candidate for public office; nor shall they be used to provide services, or for the employment or assignment of personnel, in a manner supporting or resulting in the identification of programs conducted pursuant to this Agreement, with the following: (1) any partisan or non-partisan political activity or any other political activity associated with a candidate, or contending faction or group, in an election for public or party office; (2) any activity to provide voters or prospective voters with transportation to the polls or similar assistance in connection with any such election; or (3) any voter registration activity.</w:t>
      </w:r>
    </w:p>
    <w:p w14:paraId="3371A409" w14:textId="77777777" w:rsidR="0019621B" w:rsidRPr="007938E0" w:rsidRDefault="0019621B" w:rsidP="0019621B">
      <w:pPr>
        <w:tabs>
          <w:tab w:val="left" w:pos="360"/>
        </w:tabs>
        <w:spacing w:after="100" w:afterAutospacing="1"/>
        <w:ind w:left="1080"/>
        <w:contextualSpacing/>
        <w:jc w:val="both"/>
        <w:rPr>
          <w:rFonts w:ascii="Arial" w:hAnsi="Arial" w:cs="Arial"/>
          <w:sz w:val="24"/>
          <w:szCs w:val="24"/>
        </w:rPr>
      </w:pPr>
    </w:p>
    <w:p w14:paraId="29AEBAD2" w14:textId="77777777" w:rsidR="0019621B" w:rsidRPr="007938E0" w:rsidRDefault="0019621B" w:rsidP="0019621B">
      <w:pPr>
        <w:tabs>
          <w:tab w:val="left" w:pos="360"/>
        </w:tabs>
        <w:spacing w:after="100" w:afterAutospacing="1"/>
        <w:ind w:left="1080"/>
        <w:contextualSpacing/>
        <w:jc w:val="both"/>
        <w:rPr>
          <w:rFonts w:ascii="Arial" w:hAnsi="Arial" w:cs="Arial"/>
          <w:sz w:val="24"/>
          <w:szCs w:val="24"/>
        </w:rPr>
      </w:pPr>
      <w:r w:rsidRPr="007938E0">
        <w:rPr>
          <w:rFonts w:ascii="Arial" w:hAnsi="Arial" w:cs="Arial"/>
          <w:sz w:val="24"/>
          <w:szCs w:val="24"/>
        </w:rPr>
        <w:t>Participants employed in the administration of the CDBG Plan and/or Program, and participants whose principal employment is in connection with an activity financed by the CDBG Program or its proceeds are subject to limitation on political activities under the Hatch Act (5 U.S.C. 1502(a), 18 U.S.C. 595). All participants may take part in non-partisan activities outside working hours.</w:t>
      </w:r>
    </w:p>
    <w:p w14:paraId="2F41E40E" w14:textId="77777777" w:rsidR="0019621B" w:rsidRPr="007938E0" w:rsidRDefault="0019621B" w:rsidP="0019621B">
      <w:pPr>
        <w:tabs>
          <w:tab w:val="left" w:pos="360"/>
        </w:tabs>
        <w:spacing w:after="100" w:afterAutospacing="1"/>
        <w:ind w:left="1080"/>
        <w:contextualSpacing/>
        <w:jc w:val="both"/>
        <w:rPr>
          <w:rFonts w:ascii="Arial" w:hAnsi="Arial" w:cs="Arial"/>
          <w:sz w:val="24"/>
          <w:szCs w:val="24"/>
        </w:rPr>
      </w:pPr>
    </w:p>
    <w:p w14:paraId="0DD6B7CB" w14:textId="77777777" w:rsidR="0019621B" w:rsidRPr="007938E0" w:rsidRDefault="0019621B" w:rsidP="0019621B">
      <w:pPr>
        <w:numPr>
          <w:ilvl w:val="2"/>
          <w:numId w:val="1"/>
        </w:numPr>
        <w:tabs>
          <w:tab w:val="left" w:pos="360"/>
        </w:tabs>
        <w:spacing w:after="100" w:afterAutospacing="1"/>
        <w:ind w:hanging="360"/>
        <w:contextualSpacing/>
        <w:jc w:val="both"/>
        <w:rPr>
          <w:rFonts w:ascii="Arial" w:hAnsi="Arial" w:cs="Arial"/>
          <w:sz w:val="24"/>
          <w:szCs w:val="24"/>
        </w:rPr>
      </w:pPr>
      <w:r w:rsidRPr="007938E0">
        <w:rPr>
          <w:rFonts w:ascii="Arial" w:hAnsi="Arial" w:cs="Arial"/>
          <w:sz w:val="24"/>
          <w:szCs w:val="24"/>
          <w:u w:val="single"/>
        </w:rPr>
        <w:t>Lobbying Prohibited.</w:t>
      </w:r>
    </w:p>
    <w:p w14:paraId="01559DE6" w14:textId="77777777" w:rsidR="0019621B" w:rsidRPr="007938E0" w:rsidRDefault="0019621B" w:rsidP="0019621B">
      <w:pPr>
        <w:tabs>
          <w:tab w:val="left" w:pos="360"/>
        </w:tabs>
        <w:spacing w:after="100" w:afterAutospacing="1"/>
        <w:ind w:left="1080"/>
        <w:contextualSpacing/>
        <w:jc w:val="both"/>
        <w:rPr>
          <w:rFonts w:ascii="Arial" w:hAnsi="Arial" w:cs="Arial"/>
          <w:sz w:val="24"/>
          <w:szCs w:val="24"/>
        </w:rPr>
      </w:pPr>
    </w:p>
    <w:p w14:paraId="4C97280B" w14:textId="77777777" w:rsidR="0019621B" w:rsidRPr="007938E0" w:rsidRDefault="0019621B" w:rsidP="0019621B">
      <w:pPr>
        <w:numPr>
          <w:ilvl w:val="3"/>
          <w:numId w:val="1"/>
        </w:numPr>
        <w:tabs>
          <w:tab w:val="left" w:pos="360"/>
        </w:tabs>
        <w:spacing w:after="100" w:afterAutospacing="1"/>
        <w:ind w:left="1440" w:hanging="360"/>
        <w:contextualSpacing/>
        <w:jc w:val="both"/>
        <w:rPr>
          <w:rFonts w:ascii="Arial" w:hAnsi="Arial" w:cs="Arial"/>
          <w:sz w:val="24"/>
          <w:szCs w:val="24"/>
        </w:rPr>
      </w:pPr>
      <w:r w:rsidRPr="007938E0">
        <w:rPr>
          <w:rFonts w:ascii="Arial" w:hAnsi="Arial" w:cs="Arial"/>
          <w:sz w:val="24"/>
          <w:szCs w:val="24"/>
        </w:rPr>
        <w:t xml:space="preserve">No Federal appropriated funds have been paid or will be paid, by or on behalf of the GRANTEE, to any person for influencing or attempting to influence an officer or employee of any agency, a Member of Congress, an officer or employee of </w:t>
      </w:r>
      <w:r w:rsidRPr="007938E0">
        <w:rPr>
          <w:rFonts w:ascii="Arial" w:hAnsi="Arial" w:cs="Arial"/>
          <w:sz w:val="24"/>
          <w:szCs w:val="24"/>
        </w:rPr>
        <w:lastRenderedPageBreak/>
        <w:t>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DE7FD45" w14:textId="77777777" w:rsidR="0019621B" w:rsidRPr="007938E0" w:rsidRDefault="0019621B" w:rsidP="0019621B">
      <w:pPr>
        <w:tabs>
          <w:tab w:val="left" w:pos="360"/>
        </w:tabs>
        <w:spacing w:after="100" w:afterAutospacing="1"/>
        <w:ind w:left="1440"/>
        <w:contextualSpacing/>
        <w:jc w:val="both"/>
        <w:rPr>
          <w:rFonts w:ascii="Arial" w:hAnsi="Arial" w:cs="Arial"/>
          <w:sz w:val="24"/>
          <w:szCs w:val="24"/>
        </w:rPr>
      </w:pPr>
    </w:p>
    <w:p w14:paraId="27EC2C1D" w14:textId="77777777" w:rsidR="0019621B" w:rsidRPr="007938E0" w:rsidRDefault="0019621B" w:rsidP="0019621B">
      <w:pPr>
        <w:numPr>
          <w:ilvl w:val="3"/>
          <w:numId w:val="1"/>
        </w:numPr>
        <w:tabs>
          <w:tab w:val="left" w:pos="360"/>
        </w:tabs>
        <w:spacing w:after="100" w:afterAutospacing="1"/>
        <w:ind w:left="1440" w:hanging="360"/>
        <w:contextualSpacing/>
        <w:jc w:val="both"/>
        <w:rPr>
          <w:rFonts w:ascii="Arial" w:hAnsi="Arial" w:cs="Arial"/>
          <w:sz w:val="24"/>
          <w:szCs w:val="24"/>
        </w:rPr>
      </w:pPr>
      <w:r w:rsidRPr="007938E0">
        <w:rPr>
          <w:rFonts w:ascii="Arial" w:hAnsi="Arial" w:cs="Arial"/>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GRANTEE shall complete and submit Standard Form-LLL, "Disclosure Form to Report Lobbying," in accordance with its instructions.</w:t>
      </w:r>
    </w:p>
    <w:p w14:paraId="2A652B87" w14:textId="77777777" w:rsidR="0019621B" w:rsidRPr="007938E0" w:rsidRDefault="0019621B" w:rsidP="0019621B">
      <w:pPr>
        <w:pStyle w:val="ListParagraph"/>
        <w:rPr>
          <w:rFonts w:ascii="Arial" w:hAnsi="Arial" w:cs="Arial"/>
          <w:sz w:val="24"/>
          <w:szCs w:val="24"/>
        </w:rPr>
      </w:pPr>
    </w:p>
    <w:p w14:paraId="0643AF77" w14:textId="77777777" w:rsidR="0019621B" w:rsidRPr="007938E0" w:rsidRDefault="0019621B" w:rsidP="0019621B">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The GRANTEE shall require that the language of this certification be included in the award documents for all sub awards at all tiers (including subcontracts, sub grants, and contracts under grants, loans, and cooperative agreements) and that all sub-recipients shall certify and disclose accordingly.</w:t>
      </w:r>
    </w:p>
    <w:p w14:paraId="6DAF1E67" w14:textId="77777777" w:rsidR="0019621B" w:rsidRPr="007938E0" w:rsidRDefault="0019621B" w:rsidP="0019621B">
      <w:pPr>
        <w:pStyle w:val="ListParagraph"/>
        <w:contextualSpacing/>
        <w:rPr>
          <w:rFonts w:ascii="Arial" w:hAnsi="Arial" w:cs="Arial"/>
          <w:sz w:val="24"/>
          <w:szCs w:val="24"/>
        </w:rPr>
      </w:pPr>
    </w:p>
    <w:p w14:paraId="722E3BC4" w14:textId="77777777" w:rsidR="0019621B" w:rsidRPr="007938E0" w:rsidRDefault="0019621B" w:rsidP="0019621B">
      <w:pPr>
        <w:tabs>
          <w:tab w:val="left" w:pos="360"/>
        </w:tabs>
        <w:ind w:left="1440"/>
        <w:contextualSpacing/>
        <w:jc w:val="both"/>
        <w:rPr>
          <w:rFonts w:ascii="Arial" w:hAnsi="Arial" w:cs="Arial"/>
          <w:sz w:val="24"/>
          <w:szCs w:val="24"/>
        </w:rPr>
      </w:pPr>
      <w:r w:rsidRPr="007938E0">
        <w:rPr>
          <w:rFonts w:ascii="Arial" w:hAnsi="Arial" w:cs="Arial"/>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72B7D333" w14:textId="77777777" w:rsidR="0019621B" w:rsidRPr="007938E0" w:rsidRDefault="0019621B" w:rsidP="0019621B">
      <w:pPr>
        <w:pStyle w:val="ListParagraph"/>
        <w:contextualSpacing/>
        <w:rPr>
          <w:rFonts w:ascii="Arial" w:hAnsi="Arial" w:cs="Arial"/>
          <w:sz w:val="24"/>
          <w:szCs w:val="24"/>
        </w:rPr>
      </w:pPr>
    </w:p>
    <w:p w14:paraId="112E3541" w14:textId="77777777" w:rsidR="0019621B" w:rsidRPr="007938E0" w:rsidRDefault="0019621B" w:rsidP="0019621B">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 xml:space="preserve">Guidelines </w:t>
      </w:r>
      <w:proofErr w:type="gramStart"/>
      <w:r w:rsidRPr="007938E0">
        <w:rPr>
          <w:rFonts w:ascii="Arial" w:hAnsi="Arial" w:cs="Arial"/>
          <w:sz w:val="24"/>
          <w:szCs w:val="24"/>
          <w:u w:val="single"/>
        </w:rPr>
        <w:t>On</w:t>
      </w:r>
      <w:proofErr w:type="gramEnd"/>
      <w:r w:rsidRPr="007938E0">
        <w:rPr>
          <w:rFonts w:ascii="Arial" w:hAnsi="Arial" w:cs="Arial"/>
          <w:sz w:val="24"/>
          <w:szCs w:val="24"/>
          <w:u w:val="single"/>
        </w:rPr>
        <w:t xml:space="preserve"> Church-Related Activities.</w:t>
      </w:r>
    </w:p>
    <w:p w14:paraId="34BDBD7B" w14:textId="77777777" w:rsidR="0015106A" w:rsidRPr="007938E0" w:rsidRDefault="0015106A" w:rsidP="0015106A">
      <w:pPr>
        <w:tabs>
          <w:tab w:val="left" w:pos="360"/>
        </w:tabs>
        <w:ind w:left="720"/>
        <w:contextualSpacing/>
        <w:jc w:val="both"/>
        <w:rPr>
          <w:rFonts w:ascii="Arial" w:hAnsi="Arial" w:cs="Arial"/>
          <w:sz w:val="24"/>
          <w:szCs w:val="24"/>
        </w:rPr>
      </w:pPr>
    </w:p>
    <w:p w14:paraId="6E1ADA5E" w14:textId="77777777" w:rsidR="0015106A" w:rsidRPr="007938E0" w:rsidRDefault="0015106A" w:rsidP="006C0928">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u w:val="single"/>
        </w:rPr>
        <w:t>Construction or Rehabilitation of Facilities.</w:t>
      </w:r>
      <w:r w:rsidRPr="007938E0">
        <w:rPr>
          <w:rFonts w:ascii="Arial" w:hAnsi="Arial" w:cs="Arial"/>
          <w:sz w:val="24"/>
          <w:szCs w:val="24"/>
        </w:rPr>
        <w:t xml:space="preserve"> Block grant fund recipients shall not use any funds to construct, rehabilitate, maintain, or restore religious structures (including those which may be historic properties) currently used for religious purposes. Block grant funds shall not be used to construct, rehabilitate, maintain, or restore structures or other real property owned by "pervasively sectarian" organizations. Block grant funds shall not be used to assist a religious organization in acquiring property. These prohibitions apply whether or not the property is used for religious services or instruction or is used in any other way for religious activities.</w:t>
      </w:r>
    </w:p>
    <w:p w14:paraId="17383B51" w14:textId="77777777" w:rsidR="0015106A" w:rsidRPr="007938E0" w:rsidRDefault="0015106A" w:rsidP="006C0928">
      <w:pPr>
        <w:tabs>
          <w:tab w:val="left" w:pos="360"/>
        </w:tabs>
        <w:ind w:left="1080"/>
        <w:contextualSpacing/>
        <w:jc w:val="both"/>
        <w:rPr>
          <w:rFonts w:ascii="Arial" w:hAnsi="Arial" w:cs="Arial"/>
          <w:sz w:val="24"/>
          <w:szCs w:val="24"/>
        </w:rPr>
      </w:pPr>
    </w:p>
    <w:p w14:paraId="63484CF1" w14:textId="77777777" w:rsidR="0015106A" w:rsidRPr="007938E0" w:rsidRDefault="0015106A" w:rsidP="006C0928">
      <w:pPr>
        <w:numPr>
          <w:ilvl w:val="2"/>
          <w:numId w:val="1"/>
        </w:numPr>
        <w:tabs>
          <w:tab w:val="left" w:pos="360"/>
        </w:tabs>
        <w:ind w:hanging="360"/>
        <w:contextualSpacing/>
        <w:jc w:val="both"/>
        <w:rPr>
          <w:rFonts w:ascii="Arial" w:hAnsi="Arial" w:cs="Arial"/>
          <w:sz w:val="24"/>
          <w:szCs w:val="24"/>
        </w:rPr>
      </w:pPr>
      <w:r w:rsidRPr="007938E0">
        <w:rPr>
          <w:rFonts w:ascii="Arial" w:hAnsi="Arial" w:cs="Arial"/>
          <w:sz w:val="24"/>
          <w:szCs w:val="24"/>
          <w:u w:val="single"/>
        </w:rPr>
        <w:t>Public Services.</w:t>
      </w:r>
      <w:r w:rsidRPr="007938E0">
        <w:rPr>
          <w:rFonts w:ascii="Arial" w:hAnsi="Arial" w:cs="Arial"/>
          <w:sz w:val="24"/>
          <w:szCs w:val="24"/>
        </w:rPr>
        <w:t xml:space="preserve"> Block grant funds may be used for the provision of public services under the following conditions:</w:t>
      </w:r>
    </w:p>
    <w:p w14:paraId="67BCB46E" w14:textId="77777777" w:rsidR="0015106A" w:rsidRPr="007938E0" w:rsidRDefault="0015106A" w:rsidP="006C0928">
      <w:pPr>
        <w:pStyle w:val="ListParagraph"/>
        <w:contextualSpacing/>
        <w:rPr>
          <w:rFonts w:ascii="Arial" w:hAnsi="Arial" w:cs="Arial"/>
          <w:sz w:val="24"/>
          <w:szCs w:val="24"/>
        </w:rPr>
      </w:pPr>
    </w:p>
    <w:p w14:paraId="4D62DBF7" w14:textId="77777777" w:rsidR="0015106A" w:rsidRPr="007938E0" w:rsidRDefault="0015106A" w:rsidP="006C0928">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The public services provided are exclusively non-religious in nature and scope;</w:t>
      </w:r>
    </w:p>
    <w:p w14:paraId="649D842C" w14:textId="77777777" w:rsidR="0015106A" w:rsidRPr="007938E0" w:rsidRDefault="0015106A" w:rsidP="006C0928">
      <w:pPr>
        <w:tabs>
          <w:tab w:val="left" w:pos="360"/>
        </w:tabs>
        <w:ind w:left="1440"/>
        <w:contextualSpacing/>
        <w:jc w:val="both"/>
        <w:rPr>
          <w:rFonts w:ascii="Arial" w:hAnsi="Arial" w:cs="Arial"/>
          <w:sz w:val="24"/>
          <w:szCs w:val="24"/>
        </w:rPr>
      </w:pPr>
    </w:p>
    <w:p w14:paraId="09E465FA" w14:textId="77777777" w:rsidR="0015106A" w:rsidRPr="007938E0" w:rsidRDefault="0015106A" w:rsidP="006C0928">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There are no religious services, proselytizing, instruction, or any other religious influences in connection with the public services;</w:t>
      </w:r>
    </w:p>
    <w:p w14:paraId="1A28E111" w14:textId="77777777" w:rsidR="0015106A" w:rsidRPr="007938E0" w:rsidRDefault="0015106A" w:rsidP="006C0928">
      <w:pPr>
        <w:pStyle w:val="ListParagraph"/>
        <w:contextualSpacing/>
        <w:rPr>
          <w:rFonts w:ascii="Arial" w:hAnsi="Arial" w:cs="Arial"/>
          <w:sz w:val="24"/>
          <w:szCs w:val="24"/>
        </w:rPr>
      </w:pPr>
    </w:p>
    <w:p w14:paraId="2D4F1A53" w14:textId="77777777" w:rsidR="0015106A" w:rsidRPr="007938E0" w:rsidRDefault="0015106A" w:rsidP="006C0928">
      <w:pPr>
        <w:tabs>
          <w:tab w:val="left" w:pos="360"/>
        </w:tabs>
        <w:ind w:left="1440"/>
        <w:contextualSpacing/>
        <w:jc w:val="both"/>
        <w:rPr>
          <w:rFonts w:ascii="Arial" w:hAnsi="Arial" w:cs="Arial"/>
          <w:sz w:val="24"/>
          <w:szCs w:val="24"/>
        </w:rPr>
      </w:pPr>
    </w:p>
    <w:p w14:paraId="4EB1B120" w14:textId="77777777" w:rsidR="0015106A" w:rsidRPr="007938E0" w:rsidRDefault="0015106A" w:rsidP="006C0928">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There is no religious discrimination in terms of employment or benefits under the public services; and</w:t>
      </w:r>
    </w:p>
    <w:p w14:paraId="11E503B3" w14:textId="77777777" w:rsidR="0015106A" w:rsidRPr="007938E0" w:rsidRDefault="0015106A" w:rsidP="006C0928">
      <w:pPr>
        <w:tabs>
          <w:tab w:val="left" w:pos="360"/>
        </w:tabs>
        <w:ind w:left="1440"/>
        <w:contextualSpacing/>
        <w:jc w:val="both"/>
        <w:rPr>
          <w:rFonts w:ascii="Arial" w:hAnsi="Arial" w:cs="Arial"/>
          <w:sz w:val="24"/>
          <w:szCs w:val="24"/>
        </w:rPr>
      </w:pPr>
    </w:p>
    <w:p w14:paraId="19CBB329" w14:textId="77777777" w:rsidR="0015106A" w:rsidRPr="007938E0" w:rsidRDefault="0015106A" w:rsidP="006C0928">
      <w:pPr>
        <w:numPr>
          <w:ilvl w:val="3"/>
          <w:numId w:val="1"/>
        </w:numPr>
        <w:tabs>
          <w:tab w:val="left" w:pos="360"/>
        </w:tabs>
        <w:ind w:left="1440" w:hanging="360"/>
        <w:contextualSpacing/>
        <w:jc w:val="both"/>
        <w:rPr>
          <w:rFonts w:ascii="Arial" w:hAnsi="Arial" w:cs="Arial"/>
          <w:sz w:val="24"/>
          <w:szCs w:val="24"/>
        </w:rPr>
      </w:pPr>
      <w:r w:rsidRPr="007938E0">
        <w:rPr>
          <w:rFonts w:ascii="Arial" w:hAnsi="Arial" w:cs="Arial"/>
          <w:sz w:val="24"/>
          <w:szCs w:val="24"/>
        </w:rPr>
        <w:t>The CDBG funds may be used only for the provision of public services and not for the construction, rehabilitation or restoration of any facility owned by the religious organization where the services are to be provided. A narrow exception to this prohibition is that minor repairs may be made where such repairs (a) are directly related to the public services, (b) are located in a structure used exclusively for non-religious purposes, and (c) constitute in dollar terms a minor portion of the CDBG expenditure for the public services.</w:t>
      </w:r>
    </w:p>
    <w:p w14:paraId="36A4EA29" w14:textId="77777777" w:rsidR="0015106A" w:rsidRPr="007938E0" w:rsidRDefault="0015106A" w:rsidP="0015106A">
      <w:pPr>
        <w:tabs>
          <w:tab w:val="left" w:pos="360"/>
        </w:tabs>
        <w:ind w:left="720"/>
        <w:contextualSpacing/>
        <w:jc w:val="both"/>
        <w:rPr>
          <w:rFonts w:ascii="Arial" w:hAnsi="Arial" w:cs="Arial"/>
          <w:sz w:val="24"/>
          <w:szCs w:val="24"/>
        </w:rPr>
      </w:pPr>
    </w:p>
    <w:p w14:paraId="6FB7FE8F" w14:textId="77777777" w:rsidR="0015106A" w:rsidRPr="007938E0" w:rsidRDefault="007938E0" w:rsidP="0019621B">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Resident Aliens</w:t>
      </w:r>
      <w:r w:rsidRPr="007938E0">
        <w:rPr>
          <w:rFonts w:ascii="Arial" w:hAnsi="Arial" w:cs="Arial"/>
          <w:sz w:val="24"/>
          <w:szCs w:val="24"/>
        </w:rPr>
        <w:t xml:space="preserve"> (24 CFR 570.613). Certain newly legalized aliens, as described in 24 CFR Part 49, are not eligible to apply for the benefits under covered activities funded by the CDBG program. "Covered activities" are activities meeting the requirements of 24 CFR 570.208(a) that either (1) have income eligibility requirements limiting benefits exclusively to low- and moderate-income persons, or (2) are targeted geographically or otherwise to primarily benefit low- and moderate-income persons (except for activities that benefit the public at large), and provide benefits on the basis of an application.</w:t>
      </w:r>
    </w:p>
    <w:p w14:paraId="00ADA1B9" w14:textId="77777777" w:rsidR="007938E0" w:rsidRPr="007938E0" w:rsidRDefault="007938E0" w:rsidP="007938E0">
      <w:pPr>
        <w:tabs>
          <w:tab w:val="left" w:pos="360"/>
        </w:tabs>
        <w:ind w:left="720"/>
        <w:contextualSpacing/>
        <w:jc w:val="both"/>
        <w:rPr>
          <w:rFonts w:ascii="Arial" w:hAnsi="Arial" w:cs="Arial"/>
          <w:sz w:val="24"/>
          <w:szCs w:val="24"/>
        </w:rPr>
      </w:pPr>
    </w:p>
    <w:p w14:paraId="2021EDBB" w14:textId="77777777" w:rsidR="007938E0" w:rsidRPr="007938E0" w:rsidRDefault="007938E0" w:rsidP="0019621B">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Environmental Requirements</w:t>
      </w:r>
      <w:r w:rsidRPr="007938E0">
        <w:rPr>
          <w:rFonts w:ascii="Arial" w:hAnsi="Arial" w:cs="Arial"/>
          <w:sz w:val="24"/>
          <w:szCs w:val="24"/>
        </w:rPr>
        <w:t xml:space="preserve"> (24 CFR 570.604). GRANTEE is not allowed to incur program expenses until the City has performed an environmental review of the proposed activities, received the release of funds, and provided the GRANTEE with formal clearance to initiate them, along with directives for any action necessary to mitigate negative environmental impacts (24 CFR Part 58).</w:t>
      </w:r>
    </w:p>
    <w:p w14:paraId="50A9E943" w14:textId="77777777" w:rsidR="007938E0" w:rsidRPr="007938E0" w:rsidRDefault="007938E0" w:rsidP="007938E0">
      <w:pPr>
        <w:pStyle w:val="ListParagraph"/>
        <w:rPr>
          <w:rFonts w:ascii="Arial" w:hAnsi="Arial" w:cs="Arial"/>
          <w:sz w:val="24"/>
          <w:szCs w:val="24"/>
        </w:rPr>
      </w:pPr>
    </w:p>
    <w:p w14:paraId="21669BE0" w14:textId="77777777" w:rsidR="007938E0" w:rsidRPr="007938E0" w:rsidRDefault="007938E0" w:rsidP="0019621B">
      <w:pPr>
        <w:numPr>
          <w:ilvl w:val="1"/>
          <w:numId w:val="1"/>
        </w:numPr>
        <w:tabs>
          <w:tab w:val="left" w:pos="360"/>
        </w:tabs>
        <w:ind w:left="720" w:hanging="720"/>
        <w:contextualSpacing/>
        <w:jc w:val="both"/>
        <w:rPr>
          <w:rFonts w:ascii="Arial" w:hAnsi="Arial" w:cs="Arial"/>
          <w:sz w:val="24"/>
          <w:szCs w:val="24"/>
        </w:rPr>
      </w:pPr>
      <w:r w:rsidRPr="007938E0">
        <w:rPr>
          <w:rFonts w:ascii="Arial" w:hAnsi="Arial" w:cs="Arial"/>
          <w:sz w:val="24"/>
          <w:szCs w:val="24"/>
          <w:u w:val="single"/>
        </w:rPr>
        <w:t>Historic Preservation</w:t>
      </w:r>
      <w:r w:rsidRPr="007938E0">
        <w:rPr>
          <w:rFonts w:ascii="Arial" w:hAnsi="Arial" w:cs="Arial"/>
          <w:sz w:val="24"/>
          <w:szCs w:val="24"/>
        </w:rPr>
        <w:t xml:space="preserve">. GRANTEE shall not violate provisions of the Historic Preservation Act and related laws and Executive Orders. Before any commitments are made to make any physical improvements or alterations or demolition of any building, GRANTEE shall receive assurances from the City that the GRANTEE </w:t>
      </w:r>
      <w:proofErr w:type="gramStart"/>
      <w:r w:rsidRPr="007938E0">
        <w:rPr>
          <w:rFonts w:ascii="Arial" w:hAnsi="Arial" w:cs="Arial"/>
          <w:sz w:val="24"/>
          <w:szCs w:val="24"/>
        </w:rPr>
        <w:t>is in compliance</w:t>
      </w:r>
      <w:proofErr w:type="gramEnd"/>
      <w:r w:rsidRPr="007938E0">
        <w:rPr>
          <w:rFonts w:ascii="Arial" w:hAnsi="Arial" w:cs="Arial"/>
          <w:sz w:val="24"/>
          <w:szCs w:val="24"/>
        </w:rPr>
        <w:t>.</w:t>
      </w:r>
    </w:p>
    <w:p w14:paraId="7876AB26" w14:textId="77777777" w:rsidR="007938E0" w:rsidRPr="007938E0" w:rsidRDefault="007938E0" w:rsidP="007938E0">
      <w:pPr>
        <w:pStyle w:val="ListParagraph"/>
        <w:rPr>
          <w:rFonts w:ascii="Arial" w:hAnsi="Arial" w:cs="Arial"/>
          <w:sz w:val="24"/>
          <w:szCs w:val="24"/>
        </w:rPr>
      </w:pPr>
    </w:p>
    <w:p w14:paraId="40BD8419" w14:textId="4D53861C" w:rsidR="0055634E" w:rsidRPr="00BC5A0F" w:rsidRDefault="0055634E" w:rsidP="0019621B">
      <w:pPr>
        <w:numPr>
          <w:ilvl w:val="1"/>
          <w:numId w:val="1"/>
        </w:numPr>
        <w:tabs>
          <w:tab w:val="left" w:pos="360"/>
        </w:tabs>
        <w:ind w:left="720" w:hanging="720"/>
        <w:contextualSpacing/>
        <w:jc w:val="both"/>
        <w:rPr>
          <w:rFonts w:ascii="Arial" w:hAnsi="Arial" w:cs="Arial"/>
          <w:sz w:val="24"/>
          <w:szCs w:val="24"/>
          <w:u w:val="single"/>
        </w:rPr>
      </w:pPr>
      <w:r w:rsidRPr="00B24E24">
        <w:rPr>
          <w:rFonts w:ascii="Arial" w:hAnsi="Arial" w:cs="Arial"/>
          <w:sz w:val="24"/>
          <w:szCs w:val="24"/>
          <w:u w:val="single"/>
        </w:rPr>
        <w:t>Buy-America Preferences</w:t>
      </w:r>
      <w:r w:rsidR="00B24E24">
        <w:rPr>
          <w:rFonts w:ascii="Arial" w:hAnsi="Arial" w:cs="Arial"/>
          <w:sz w:val="24"/>
          <w:szCs w:val="24"/>
        </w:rPr>
        <w:t>.</w:t>
      </w:r>
      <w:r w:rsidR="00B24E24" w:rsidRPr="00B24E24">
        <w:rPr>
          <w:rFonts w:ascii="Arial" w:hAnsi="Arial" w:cs="Arial"/>
          <w:sz w:val="24"/>
          <w:szCs w:val="24"/>
        </w:rPr>
        <w:t xml:space="preserve"> Strengthening Buy-American Preferences for Infrastructure Projects. Recipients of covered programs (as defined in Executive Order 13858, 31 January 2019, and 2 C.F.R. §200.322 (Domestic preferences for procurements)) are hereby notified that they are encouraged to use, to the greatest extent practicable, iron and aluminum as well as steel, cement, and other manufactured products produced in the United States in every contract, subcontract, purchase order, or subaward that is chargeable under this Award.</w:t>
      </w:r>
    </w:p>
    <w:p w14:paraId="53914ADD" w14:textId="77777777" w:rsidR="00BC5A0F" w:rsidRDefault="00BC5A0F" w:rsidP="00BC5A0F">
      <w:pPr>
        <w:pStyle w:val="ListParagraph"/>
        <w:rPr>
          <w:rFonts w:ascii="Arial" w:hAnsi="Arial" w:cs="Arial"/>
          <w:sz w:val="24"/>
          <w:szCs w:val="24"/>
          <w:u w:val="single"/>
        </w:rPr>
      </w:pPr>
    </w:p>
    <w:p w14:paraId="0D0296E6" w14:textId="6FA704F2" w:rsidR="00BC5A0F" w:rsidRPr="00870566" w:rsidRDefault="00655805" w:rsidP="00BC5A0F">
      <w:pPr>
        <w:numPr>
          <w:ilvl w:val="1"/>
          <w:numId w:val="1"/>
        </w:numPr>
        <w:tabs>
          <w:tab w:val="left" w:pos="360"/>
        </w:tabs>
        <w:ind w:left="720" w:hanging="720"/>
        <w:contextualSpacing/>
        <w:jc w:val="both"/>
        <w:rPr>
          <w:rFonts w:ascii="Arial" w:hAnsi="Arial" w:cs="Arial"/>
          <w:sz w:val="24"/>
          <w:szCs w:val="24"/>
          <w:u w:val="single"/>
        </w:rPr>
      </w:pPr>
      <w:r w:rsidRPr="00870566">
        <w:rPr>
          <w:rFonts w:ascii="Arial" w:hAnsi="Arial" w:cs="Arial"/>
          <w:sz w:val="24"/>
          <w:szCs w:val="24"/>
          <w:u w:val="single"/>
        </w:rPr>
        <w:t>24 CFR 84: Housing and Urban Development PART 84</w:t>
      </w:r>
      <w:r w:rsidRPr="00870566">
        <w:rPr>
          <w:rFonts w:ascii="Arial" w:hAnsi="Arial" w:cs="Arial"/>
          <w:sz w:val="24"/>
          <w:szCs w:val="24"/>
        </w:rPr>
        <w:t>—</w:t>
      </w:r>
      <w:r w:rsidR="00870566" w:rsidRPr="00870566">
        <w:rPr>
          <w:rFonts w:ascii="Arial" w:hAnsi="Arial" w:cs="Arial"/>
          <w:sz w:val="24"/>
          <w:szCs w:val="24"/>
        </w:rPr>
        <w:t xml:space="preserve">Uniform Administrative Requirements for Grants and Agreements with Institutions of Higher Education, Hospitals, and other Non-Profit </w:t>
      </w:r>
      <w:proofErr w:type="spellStart"/>
      <w:r w:rsidR="00870566" w:rsidRPr="00870566">
        <w:rPr>
          <w:rFonts w:ascii="Arial" w:hAnsi="Arial" w:cs="Arial"/>
          <w:sz w:val="24"/>
          <w:szCs w:val="24"/>
        </w:rPr>
        <w:t>Oorganizations</w:t>
      </w:r>
      <w:proofErr w:type="spellEnd"/>
      <w:r w:rsidR="00870566" w:rsidRPr="00870566">
        <w:rPr>
          <w:rFonts w:ascii="Arial" w:hAnsi="Arial" w:cs="Arial"/>
          <w:sz w:val="24"/>
          <w:szCs w:val="24"/>
        </w:rPr>
        <w:t xml:space="preserve">.  </w:t>
      </w:r>
    </w:p>
    <w:p w14:paraId="3763B52B" w14:textId="77777777" w:rsidR="00BC5A0F" w:rsidRDefault="00BC5A0F" w:rsidP="00BC5A0F">
      <w:pPr>
        <w:pStyle w:val="ListParagraph"/>
      </w:pPr>
    </w:p>
    <w:p w14:paraId="1C74EF58" w14:textId="77777777" w:rsidR="00BC5A0F" w:rsidRPr="00BC5A0F" w:rsidRDefault="00655805" w:rsidP="00BC5A0F">
      <w:pPr>
        <w:numPr>
          <w:ilvl w:val="1"/>
          <w:numId w:val="1"/>
        </w:numPr>
        <w:tabs>
          <w:tab w:val="left" w:pos="360"/>
        </w:tabs>
        <w:ind w:left="720" w:hanging="720"/>
        <w:contextualSpacing/>
        <w:jc w:val="both"/>
        <w:rPr>
          <w:rFonts w:ascii="Arial" w:hAnsi="Arial" w:cs="Arial"/>
          <w:sz w:val="24"/>
          <w:szCs w:val="24"/>
        </w:rPr>
      </w:pPr>
      <w:r w:rsidRPr="00870566">
        <w:rPr>
          <w:rFonts w:ascii="Arial" w:hAnsi="Arial" w:cs="Arial"/>
          <w:sz w:val="24"/>
          <w:szCs w:val="24"/>
          <w:u w:val="single"/>
        </w:rPr>
        <w:t>Section 110(a) of the Act</w:t>
      </w:r>
      <w:r w:rsidRPr="00BC5A0F">
        <w:rPr>
          <w:rFonts w:ascii="Arial" w:hAnsi="Arial" w:cs="Arial"/>
          <w:sz w:val="24"/>
          <w:szCs w:val="24"/>
        </w:rPr>
        <w:t xml:space="preserve"> contains labor standards that apply to </w:t>
      </w:r>
      <w:proofErr w:type="spellStart"/>
      <w:r w:rsidRPr="00BC5A0F">
        <w:rPr>
          <w:rFonts w:ascii="Arial" w:hAnsi="Arial" w:cs="Arial"/>
          <w:sz w:val="24"/>
          <w:szCs w:val="24"/>
        </w:rPr>
        <w:t>nonvolunteer</w:t>
      </w:r>
      <w:proofErr w:type="spellEnd"/>
      <w:r w:rsidRPr="00BC5A0F">
        <w:rPr>
          <w:rFonts w:ascii="Arial" w:hAnsi="Arial" w:cs="Arial"/>
          <w:sz w:val="24"/>
          <w:szCs w:val="24"/>
        </w:rPr>
        <w:t xml:space="preserve"> labor financed in whole or in part with assistance received under the Act. In accordance with section 110(a) of the Act, the Contract Work Hours and Safety Standards Act (</w:t>
      </w:r>
      <w:hyperlink r:id="rId11" w:tgtFrame="_blank" w:history="1">
        <w:r w:rsidRPr="00BC5A0F">
          <w:rPr>
            <w:rFonts w:ascii="Arial" w:hAnsi="Arial" w:cs="Arial"/>
            <w:sz w:val="24"/>
            <w:szCs w:val="24"/>
          </w:rPr>
          <w:t>40 U.S.C. 327</w:t>
        </w:r>
      </w:hyperlink>
      <w:r w:rsidRPr="00BC5A0F">
        <w:rPr>
          <w:rFonts w:ascii="Arial" w:hAnsi="Arial" w:cs="Arial"/>
          <w:sz w:val="24"/>
          <w:szCs w:val="24"/>
        </w:rPr>
        <w:t xml:space="preserve"> </w:t>
      </w:r>
      <w:r w:rsidRPr="00BC5A0F">
        <w:rPr>
          <w:rFonts w:ascii="Arial" w:hAnsi="Arial" w:cs="Arial"/>
          <w:i/>
          <w:iCs/>
          <w:sz w:val="24"/>
          <w:szCs w:val="24"/>
        </w:rPr>
        <w:t>et seq.</w:t>
      </w:r>
      <w:r w:rsidRPr="00BC5A0F">
        <w:rPr>
          <w:rFonts w:ascii="Arial" w:hAnsi="Arial" w:cs="Arial"/>
          <w:sz w:val="24"/>
          <w:szCs w:val="24"/>
        </w:rPr>
        <w:t>) also applies. However, these requirements apply to the rehabilitation of residential property only if such property contains not less than 8 units.</w:t>
      </w:r>
    </w:p>
    <w:p w14:paraId="6349ADF1" w14:textId="77777777" w:rsidR="00BC5A0F" w:rsidRPr="00BC5A0F" w:rsidRDefault="00BC5A0F" w:rsidP="00BC5A0F">
      <w:pPr>
        <w:pStyle w:val="ListParagraph"/>
        <w:rPr>
          <w:rFonts w:ascii="Arial" w:hAnsi="Arial" w:cs="Arial"/>
          <w:sz w:val="24"/>
          <w:szCs w:val="24"/>
        </w:rPr>
      </w:pPr>
    </w:p>
    <w:p w14:paraId="1CEA807B" w14:textId="77777777" w:rsidR="00BC5A0F" w:rsidRPr="00BC5A0F" w:rsidRDefault="00BC5A0F" w:rsidP="00BC5A0F">
      <w:pPr>
        <w:numPr>
          <w:ilvl w:val="1"/>
          <w:numId w:val="1"/>
        </w:numPr>
        <w:tabs>
          <w:tab w:val="left" w:pos="360"/>
        </w:tabs>
        <w:ind w:left="720" w:hanging="720"/>
        <w:contextualSpacing/>
        <w:jc w:val="both"/>
        <w:rPr>
          <w:rFonts w:ascii="Arial" w:hAnsi="Arial" w:cs="Arial"/>
          <w:sz w:val="24"/>
          <w:szCs w:val="24"/>
        </w:rPr>
      </w:pPr>
      <w:r w:rsidRPr="00870566">
        <w:rPr>
          <w:rFonts w:ascii="Arial" w:hAnsi="Arial" w:cs="Arial"/>
          <w:sz w:val="24"/>
          <w:szCs w:val="24"/>
          <w:u w:val="single"/>
        </w:rPr>
        <w:t>Drug-Free Workplace Act of 1988</w:t>
      </w:r>
      <w:r w:rsidRPr="00BC5A0F">
        <w:rPr>
          <w:rFonts w:ascii="Arial" w:hAnsi="Arial" w:cs="Arial"/>
          <w:sz w:val="24"/>
          <w:szCs w:val="24"/>
        </w:rPr>
        <w:t xml:space="preserve"> (41 U.S.C. 701 et seq.) and HUD's implementing regulations at 24 CFR part 24. </w:t>
      </w:r>
    </w:p>
    <w:p w14:paraId="6B4FBA95" w14:textId="77777777" w:rsidR="00BC5A0F" w:rsidRPr="00BC5A0F" w:rsidRDefault="00BC5A0F" w:rsidP="00BC5A0F">
      <w:pPr>
        <w:pStyle w:val="ListParagraph"/>
        <w:rPr>
          <w:rFonts w:ascii="Arial" w:hAnsi="Arial" w:cs="Arial"/>
          <w:sz w:val="24"/>
          <w:szCs w:val="24"/>
        </w:rPr>
      </w:pPr>
    </w:p>
    <w:p w14:paraId="07186C7B" w14:textId="6CEFCFE6" w:rsidR="00BC5A0F" w:rsidRDefault="00BC5A0F" w:rsidP="00BC5A0F">
      <w:pPr>
        <w:numPr>
          <w:ilvl w:val="1"/>
          <w:numId w:val="1"/>
        </w:numPr>
        <w:tabs>
          <w:tab w:val="left" w:pos="360"/>
        </w:tabs>
        <w:ind w:left="720" w:hanging="720"/>
        <w:contextualSpacing/>
        <w:jc w:val="both"/>
        <w:rPr>
          <w:rFonts w:ascii="Arial" w:hAnsi="Arial" w:cs="Arial"/>
          <w:sz w:val="24"/>
          <w:szCs w:val="24"/>
        </w:rPr>
      </w:pPr>
      <w:r w:rsidRPr="00870566">
        <w:rPr>
          <w:rFonts w:ascii="Arial" w:hAnsi="Arial" w:cs="Arial"/>
          <w:sz w:val="24"/>
          <w:szCs w:val="24"/>
          <w:u w:val="single"/>
        </w:rPr>
        <w:lastRenderedPageBreak/>
        <w:t>Procurement of all materials</w:t>
      </w:r>
      <w:r w:rsidRPr="00BC5A0F">
        <w:rPr>
          <w:rFonts w:ascii="Arial" w:hAnsi="Arial" w:cs="Arial"/>
          <w:sz w:val="24"/>
          <w:szCs w:val="24"/>
        </w:rPr>
        <w:t>, property, contracts, and services in accordance with 24 CFR Part 84.40-48.</w:t>
      </w:r>
    </w:p>
    <w:p w14:paraId="0C6B0370" w14:textId="77777777" w:rsidR="008D40B1" w:rsidRDefault="008D40B1" w:rsidP="008D40B1">
      <w:pPr>
        <w:pStyle w:val="ListParagraph"/>
        <w:rPr>
          <w:rFonts w:ascii="Arial" w:hAnsi="Arial" w:cs="Arial"/>
          <w:sz w:val="24"/>
          <w:szCs w:val="24"/>
        </w:rPr>
      </w:pPr>
    </w:p>
    <w:p w14:paraId="4707AC55" w14:textId="006F88E7" w:rsidR="008D40B1" w:rsidRDefault="008D40B1" w:rsidP="008D40B1">
      <w:pPr>
        <w:tabs>
          <w:tab w:val="left" w:pos="360"/>
        </w:tabs>
        <w:contextualSpacing/>
        <w:jc w:val="both"/>
        <w:rPr>
          <w:rFonts w:ascii="Arial" w:hAnsi="Arial" w:cs="Arial"/>
          <w:sz w:val="24"/>
          <w:szCs w:val="24"/>
        </w:rPr>
      </w:pPr>
    </w:p>
    <w:p w14:paraId="27BC6FD5" w14:textId="77777777" w:rsidR="008D40B1" w:rsidRPr="00BD1E94" w:rsidRDefault="008D40B1" w:rsidP="008D40B1">
      <w:pPr>
        <w:jc w:val="both"/>
        <w:rPr>
          <w:rFonts w:ascii="Arial" w:hAnsi="Arial" w:cs="Arial"/>
          <w:b/>
          <w:sz w:val="24"/>
          <w:szCs w:val="24"/>
        </w:rPr>
      </w:pPr>
      <w:r w:rsidRPr="00BD1E94">
        <w:rPr>
          <w:rFonts w:ascii="Arial" w:hAnsi="Arial" w:cs="Arial"/>
          <w:b/>
          <w:sz w:val="24"/>
          <w:szCs w:val="24"/>
        </w:rPr>
        <w:t>By my signature hereunder, I hereby swear and certify, under penalty of perjury, that I have read and understand the requirements stated above and all referenced regulations.</w:t>
      </w:r>
    </w:p>
    <w:p w14:paraId="031B0B1C" w14:textId="77777777" w:rsidR="008D40B1" w:rsidRPr="00BD1E94" w:rsidRDefault="008D40B1" w:rsidP="008D40B1">
      <w:pPr>
        <w:jc w:val="both"/>
        <w:rPr>
          <w:rFonts w:ascii="Arial" w:hAnsi="Arial" w:cs="Arial"/>
          <w:sz w:val="24"/>
          <w:szCs w:val="24"/>
        </w:rPr>
      </w:pPr>
    </w:p>
    <w:p w14:paraId="3F85E4A6" w14:textId="77777777" w:rsidR="008D40B1" w:rsidRPr="00BD1E94" w:rsidRDefault="008D40B1" w:rsidP="008D40B1">
      <w:pPr>
        <w:jc w:val="both"/>
        <w:rPr>
          <w:rFonts w:ascii="Arial" w:hAnsi="Arial" w:cs="Arial"/>
          <w:sz w:val="24"/>
          <w:szCs w:val="24"/>
        </w:rPr>
      </w:pPr>
    </w:p>
    <w:p w14:paraId="0EA185FB" w14:textId="77777777" w:rsidR="008D40B1" w:rsidRPr="00BD1E94" w:rsidRDefault="008D40B1" w:rsidP="008D40B1">
      <w:pPr>
        <w:jc w:val="both"/>
        <w:rPr>
          <w:rFonts w:ascii="Arial" w:hAnsi="Arial" w:cs="Arial"/>
          <w:sz w:val="24"/>
          <w:szCs w:val="24"/>
        </w:rPr>
      </w:pPr>
    </w:p>
    <w:p w14:paraId="659DB836"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u w:val="single"/>
        </w:rPr>
      </w:pPr>
      <w:r w:rsidRPr="00BD1E94">
        <w:rPr>
          <w:rFonts w:ascii="Arial" w:hAnsi="Arial" w:cs="Arial"/>
          <w:sz w:val="24"/>
          <w:szCs w:val="24"/>
          <w:u w:val="single"/>
        </w:rPr>
        <w:tab/>
      </w:r>
      <w:r w:rsidRPr="00BD1E94">
        <w:rPr>
          <w:rFonts w:ascii="Arial" w:hAnsi="Arial" w:cs="Arial"/>
          <w:sz w:val="24"/>
          <w:szCs w:val="24"/>
        </w:rPr>
        <w:tab/>
      </w:r>
      <w:r w:rsidRPr="00BD1E94">
        <w:rPr>
          <w:rFonts w:ascii="Arial" w:hAnsi="Arial" w:cs="Arial"/>
          <w:sz w:val="24"/>
          <w:szCs w:val="24"/>
          <w:u w:val="single"/>
        </w:rPr>
        <w:tab/>
      </w:r>
    </w:p>
    <w:p w14:paraId="6EB0DB23"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rPr>
        <w:t>(Bidder)</w:t>
      </w:r>
      <w:r w:rsidRPr="00BD1E94">
        <w:rPr>
          <w:rFonts w:ascii="Arial" w:hAnsi="Arial" w:cs="Arial"/>
          <w:sz w:val="24"/>
          <w:szCs w:val="24"/>
        </w:rPr>
        <w:tab/>
      </w:r>
      <w:r w:rsidRPr="00BD1E94">
        <w:rPr>
          <w:rFonts w:ascii="Arial" w:hAnsi="Arial" w:cs="Arial"/>
          <w:sz w:val="24"/>
          <w:szCs w:val="24"/>
        </w:rPr>
        <w:tab/>
        <w:t>(Type of Entity)</w:t>
      </w:r>
    </w:p>
    <w:p w14:paraId="11D3C0A8"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p>
    <w:p w14:paraId="0392B916"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u w:val="single"/>
        </w:rPr>
      </w:pPr>
      <w:r w:rsidRPr="00BD1E94">
        <w:rPr>
          <w:rFonts w:ascii="Arial" w:hAnsi="Arial" w:cs="Arial"/>
          <w:sz w:val="24"/>
          <w:szCs w:val="24"/>
          <w:u w:val="single"/>
        </w:rPr>
        <w:tab/>
      </w:r>
      <w:r w:rsidRPr="00BD1E94">
        <w:rPr>
          <w:rFonts w:ascii="Arial" w:hAnsi="Arial" w:cs="Arial"/>
          <w:sz w:val="24"/>
          <w:szCs w:val="24"/>
        </w:rPr>
        <w:tab/>
      </w:r>
      <w:r w:rsidRPr="00BD1E94">
        <w:rPr>
          <w:rFonts w:ascii="Arial" w:hAnsi="Arial" w:cs="Arial"/>
          <w:sz w:val="24"/>
          <w:szCs w:val="24"/>
          <w:u w:val="single"/>
        </w:rPr>
        <w:tab/>
      </w:r>
    </w:p>
    <w:p w14:paraId="2ED3427B"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rPr>
        <w:t>(Authorized signature on behalf of Contractor)</w:t>
      </w:r>
      <w:r w:rsidRPr="00BD1E94">
        <w:rPr>
          <w:rFonts w:ascii="Arial" w:hAnsi="Arial" w:cs="Arial"/>
          <w:sz w:val="24"/>
          <w:szCs w:val="24"/>
        </w:rPr>
        <w:tab/>
      </w:r>
      <w:r w:rsidRPr="00BD1E94">
        <w:rPr>
          <w:rFonts w:ascii="Arial" w:hAnsi="Arial" w:cs="Arial"/>
          <w:sz w:val="24"/>
          <w:szCs w:val="24"/>
        </w:rPr>
        <w:tab/>
        <w:t>(Address)</w:t>
      </w:r>
    </w:p>
    <w:p w14:paraId="79AA3914"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p>
    <w:p w14:paraId="125CB0A6"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u w:val="single"/>
        </w:rPr>
        <w:tab/>
      </w:r>
      <w:r w:rsidRPr="00BD1E94">
        <w:rPr>
          <w:rFonts w:ascii="Arial" w:hAnsi="Arial" w:cs="Arial"/>
          <w:sz w:val="24"/>
          <w:szCs w:val="24"/>
        </w:rPr>
        <w:tab/>
      </w:r>
      <w:r w:rsidRPr="00BD1E94">
        <w:rPr>
          <w:rFonts w:ascii="Arial" w:hAnsi="Arial" w:cs="Arial"/>
          <w:sz w:val="24"/>
          <w:szCs w:val="24"/>
          <w:u w:val="single"/>
        </w:rPr>
        <w:tab/>
      </w:r>
    </w:p>
    <w:p w14:paraId="08F197DD"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rPr>
        <w:t>(Name/Title)</w:t>
      </w:r>
      <w:r w:rsidRPr="00BD1E94">
        <w:rPr>
          <w:rFonts w:ascii="Arial" w:hAnsi="Arial" w:cs="Arial"/>
          <w:sz w:val="24"/>
          <w:szCs w:val="24"/>
        </w:rPr>
        <w:tab/>
      </w:r>
      <w:r w:rsidRPr="00BD1E94">
        <w:rPr>
          <w:rFonts w:ascii="Arial" w:hAnsi="Arial" w:cs="Arial"/>
          <w:sz w:val="24"/>
          <w:szCs w:val="24"/>
        </w:rPr>
        <w:tab/>
        <w:t>(City/State/Zip)</w:t>
      </w:r>
    </w:p>
    <w:p w14:paraId="375BBEAB" w14:textId="77777777" w:rsidR="008D40B1" w:rsidRPr="00BD1E94" w:rsidRDefault="008D40B1" w:rsidP="008D40B1">
      <w:pPr>
        <w:tabs>
          <w:tab w:val="left" w:pos="4320"/>
          <w:tab w:val="left" w:pos="5040"/>
          <w:tab w:val="left" w:pos="9360"/>
        </w:tabs>
        <w:jc w:val="both"/>
        <w:rPr>
          <w:rFonts w:ascii="Arial" w:hAnsi="Arial" w:cs="Arial"/>
          <w:sz w:val="24"/>
          <w:szCs w:val="24"/>
        </w:rPr>
      </w:pPr>
    </w:p>
    <w:p w14:paraId="55AE879A"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u w:val="single"/>
        </w:rPr>
        <w:tab/>
      </w:r>
      <w:r w:rsidRPr="00BD1E94">
        <w:rPr>
          <w:rFonts w:ascii="Arial" w:hAnsi="Arial" w:cs="Arial"/>
          <w:sz w:val="24"/>
          <w:szCs w:val="24"/>
        </w:rPr>
        <w:tab/>
      </w:r>
      <w:r w:rsidRPr="00BD1E94">
        <w:rPr>
          <w:rFonts w:ascii="Arial" w:hAnsi="Arial" w:cs="Arial"/>
          <w:sz w:val="24"/>
          <w:szCs w:val="24"/>
          <w:u w:val="single"/>
        </w:rPr>
        <w:tab/>
      </w:r>
    </w:p>
    <w:p w14:paraId="239504DA" w14:textId="77777777" w:rsidR="008D40B1" w:rsidRPr="00BD1E94" w:rsidRDefault="008D40B1" w:rsidP="008D40B1">
      <w:pPr>
        <w:tabs>
          <w:tab w:val="left" w:pos="4320"/>
          <w:tab w:val="left" w:pos="5040"/>
          <w:tab w:val="left" w:pos="9360"/>
          <w:tab w:val="left" w:pos="10800"/>
        </w:tabs>
        <w:jc w:val="both"/>
        <w:rPr>
          <w:rFonts w:ascii="Arial" w:hAnsi="Arial" w:cs="Arial"/>
          <w:sz w:val="24"/>
          <w:szCs w:val="24"/>
        </w:rPr>
      </w:pPr>
      <w:r w:rsidRPr="00BD1E94">
        <w:rPr>
          <w:rFonts w:ascii="Arial" w:hAnsi="Arial" w:cs="Arial"/>
          <w:sz w:val="24"/>
          <w:szCs w:val="24"/>
        </w:rPr>
        <w:t>(Email)</w:t>
      </w:r>
      <w:r w:rsidRPr="00BD1E94">
        <w:rPr>
          <w:rFonts w:ascii="Arial" w:hAnsi="Arial" w:cs="Arial"/>
          <w:sz w:val="24"/>
          <w:szCs w:val="24"/>
        </w:rPr>
        <w:tab/>
      </w:r>
      <w:r w:rsidRPr="00BD1E94">
        <w:rPr>
          <w:rFonts w:ascii="Arial" w:hAnsi="Arial" w:cs="Arial"/>
          <w:sz w:val="24"/>
          <w:szCs w:val="24"/>
        </w:rPr>
        <w:tab/>
        <w:t>(Phone)</w:t>
      </w:r>
    </w:p>
    <w:p w14:paraId="26E7D3DF" w14:textId="77777777" w:rsidR="008D40B1" w:rsidRPr="00BD1E94" w:rsidRDefault="008D40B1" w:rsidP="008D40B1">
      <w:pPr>
        <w:tabs>
          <w:tab w:val="left" w:pos="4320"/>
          <w:tab w:val="left" w:pos="5040"/>
          <w:tab w:val="left" w:pos="9360"/>
        </w:tabs>
        <w:jc w:val="both"/>
        <w:rPr>
          <w:rFonts w:ascii="Arial" w:hAnsi="Arial" w:cs="Arial"/>
          <w:spacing w:val="-2"/>
          <w:sz w:val="24"/>
          <w:szCs w:val="24"/>
        </w:rPr>
      </w:pPr>
    </w:p>
    <w:p w14:paraId="26B7E017" w14:textId="77777777" w:rsidR="008D40B1" w:rsidRPr="00BD1E94" w:rsidRDefault="008D40B1" w:rsidP="008D40B1">
      <w:pPr>
        <w:tabs>
          <w:tab w:val="left" w:pos="4320"/>
          <w:tab w:val="left" w:pos="5040"/>
          <w:tab w:val="left" w:pos="9360"/>
        </w:tabs>
        <w:jc w:val="both"/>
        <w:rPr>
          <w:rFonts w:ascii="Arial" w:hAnsi="Arial" w:cs="Arial"/>
          <w:spacing w:val="-2"/>
          <w:sz w:val="24"/>
          <w:szCs w:val="24"/>
        </w:rPr>
      </w:pPr>
    </w:p>
    <w:p w14:paraId="771C902B" w14:textId="77777777" w:rsidR="008D40B1" w:rsidRPr="00BD1E94" w:rsidRDefault="008D40B1" w:rsidP="008D40B1">
      <w:pPr>
        <w:tabs>
          <w:tab w:val="left" w:pos="4320"/>
          <w:tab w:val="left" w:pos="5040"/>
          <w:tab w:val="left" w:pos="9360"/>
        </w:tabs>
        <w:jc w:val="both"/>
        <w:rPr>
          <w:rFonts w:ascii="Arial" w:hAnsi="Arial" w:cs="Arial"/>
          <w:spacing w:val="-2"/>
          <w:sz w:val="24"/>
          <w:szCs w:val="24"/>
        </w:rPr>
      </w:pPr>
    </w:p>
    <w:p w14:paraId="1DD3BC35" w14:textId="77777777" w:rsidR="008D40B1" w:rsidRPr="00BD1E94" w:rsidRDefault="008D40B1" w:rsidP="008D40B1">
      <w:pPr>
        <w:jc w:val="both"/>
        <w:rPr>
          <w:rFonts w:ascii="Arial" w:hAnsi="Arial" w:cs="Arial"/>
          <w:b/>
          <w:sz w:val="24"/>
          <w:szCs w:val="24"/>
        </w:rPr>
      </w:pPr>
      <w:r w:rsidRPr="00BD1E94">
        <w:rPr>
          <w:rFonts w:ascii="Arial" w:hAnsi="Arial" w:cs="Arial"/>
          <w:spacing w:val="-2"/>
          <w:sz w:val="24"/>
          <w:szCs w:val="24"/>
        </w:rPr>
        <w:t>NOTE: If the Bidder is a corporation, set forth the legal name of the corporation together with the signature of the officer or officers authorized to sign contracts on behalf of the corporation. If the Bidder is a partnership, set forth the name of the firm together with the signature of the partner or partners authorized to sign contracts on behalf of the partnership. All signer(s) represent and warrant that they are authorized to sign this Bid on behalf of Bidder.</w:t>
      </w:r>
      <w:r w:rsidRPr="00BD1E94">
        <w:rPr>
          <w:rFonts w:ascii="Arial" w:hAnsi="Arial" w:cs="Arial"/>
          <w:b/>
          <w:noProof/>
          <w:sz w:val="24"/>
          <w:szCs w:val="24"/>
        </w:rPr>
        <mc:AlternateContent>
          <mc:Choice Requires="wps">
            <w:drawing>
              <wp:anchor distT="0" distB="0" distL="114300" distR="114300" simplePos="0" relativeHeight="251659264" behindDoc="0" locked="0" layoutInCell="0" allowOverlap="1" wp14:anchorId="5EE7F706" wp14:editId="03FC7CBF">
                <wp:simplePos x="0" y="0"/>
                <wp:positionH relativeFrom="column">
                  <wp:posOffset>-1051560</wp:posOffset>
                </wp:positionH>
                <wp:positionV relativeFrom="paragraph">
                  <wp:posOffset>0</wp:posOffset>
                </wp:positionV>
                <wp:extent cx="91440" cy="914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89687" id="Rectangle 1" o:spid="_x0000_s1026" style="position:absolute;margin-left:-82.8pt;margin-top:0;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" o:allowincell="f" strokecolor="white"/>
            </w:pict>
          </mc:Fallback>
        </mc:AlternateContent>
      </w:r>
    </w:p>
    <w:p w14:paraId="51E3B5A6" w14:textId="77777777" w:rsidR="008D40B1" w:rsidRPr="00BC5A0F" w:rsidRDefault="008D40B1" w:rsidP="008D40B1">
      <w:pPr>
        <w:tabs>
          <w:tab w:val="left" w:pos="360"/>
        </w:tabs>
        <w:contextualSpacing/>
        <w:jc w:val="both"/>
        <w:rPr>
          <w:rFonts w:ascii="Arial" w:hAnsi="Arial" w:cs="Arial"/>
          <w:sz w:val="24"/>
          <w:szCs w:val="24"/>
        </w:rPr>
      </w:pPr>
    </w:p>
    <w:sectPr w:rsidR="008D40B1" w:rsidRPr="00BC5A0F" w:rsidSect="00F50CE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16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49C9" w14:textId="77777777" w:rsidR="00AF7C09" w:rsidRDefault="00AF7C09">
      <w:r>
        <w:separator/>
      </w:r>
    </w:p>
  </w:endnote>
  <w:endnote w:type="continuationSeparator" w:id="0">
    <w:p w14:paraId="47249C68" w14:textId="77777777" w:rsidR="00AF7C09" w:rsidRDefault="00AF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ECA5" w14:textId="77777777" w:rsidR="00AF7C09" w:rsidRDefault="00AF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7A39" w14:textId="77777777" w:rsidR="00AF7C09" w:rsidRDefault="00AF7C09">
    <w:pPr>
      <w:pStyle w:val="Footer"/>
      <w:widowControl w:val="0"/>
      <w:tabs>
        <w:tab w:val="left" w:pos="180"/>
        <w:tab w:val="left" w:pos="220"/>
        <w:tab w:val="center" w:pos="4680"/>
      </w:tabs>
      <w:jc w:val="center"/>
      <w:rPr>
        <w:rFonts w:ascii="Times New Roman" w:hAnsi="Times New Roman"/>
      </w:rPr>
    </w:pPr>
    <w:r>
      <w:rPr>
        <w:rFonts w:ascii="Times New Roman" w:hAnsi="Times New Roman"/>
      </w:rPr>
      <w:tab/>
    </w:r>
  </w:p>
  <w:p w14:paraId="1101DFD6" w14:textId="77777777" w:rsidR="00AF7C09" w:rsidRDefault="00AF7C09" w:rsidP="007938E0">
    <w:pPr>
      <w:pStyle w:val="Footer"/>
      <w:widowControl w:val="0"/>
      <w:tabs>
        <w:tab w:val="left" w:pos="180"/>
        <w:tab w:val="left" w:pos="220"/>
        <w:tab w:val="center" w:pos="4680"/>
      </w:tabs>
      <w:jc w:val="center"/>
    </w:pPr>
    <w:r w:rsidRPr="008369FE">
      <w:rPr>
        <w:rFonts w:ascii="Times New Roman" w:hAnsi="Times New Roman"/>
      </w:rPr>
      <w:pgNum/>
    </w:r>
    <w:r w:rsidRPr="009C0A03">
      <w:rPr>
        <w:rFonts w:ascii="Times New Roman" w:hAnsi="Times New Roman"/>
        <w:caps/>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25AE" w14:textId="77777777" w:rsidR="00AF7C09" w:rsidRDefault="00AF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EEFE" w14:textId="77777777" w:rsidR="00AF7C09" w:rsidRDefault="00AF7C09">
      <w:r>
        <w:separator/>
      </w:r>
    </w:p>
  </w:footnote>
  <w:footnote w:type="continuationSeparator" w:id="0">
    <w:p w14:paraId="33EC453D" w14:textId="77777777" w:rsidR="00AF7C09" w:rsidRDefault="00AF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A72E" w14:textId="77777777" w:rsidR="00AF7C09" w:rsidRDefault="00AF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F3A7" w14:textId="4B9029B8" w:rsidR="00AF7C09" w:rsidRDefault="00AF7C09" w:rsidP="00AF7C09">
    <w:pPr>
      <w:pStyle w:val="Header"/>
      <w:jc w:val="right"/>
    </w:pPr>
    <w:r>
      <w:t>B-02</w:t>
    </w:r>
    <w:bookmarkStart w:id="0" w:name="_GoBack"/>
    <w:bookmarkEnd w:id="0"/>
  </w:p>
  <w:p w14:paraId="547B5B23" w14:textId="77777777" w:rsidR="00AF7C09" w:rsidRDefault="00AF7C09">
    <w:pPr>
      <w:pStyle w:val="Header"/>
      <w:widowControl w:val="0"/>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ED58" w14:textId="77777777" w:rsidR="00AF7C09" w:rsidRDefault="00AF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C6B"/>
    <w:multiLevelType w:val="multilevel"/>
    <w:tmpl w:val="74DC9230"/>
    <w:lvl w:ilvl="0">
      <w:start w:val="1"/>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1"/>
      <w:numFmt w:val="upperLetter"/>
      <w:lvlText w:val="%3."/>
      <w:lvlJc w:val="left"/>
      <w:pPr>
        <w:ind w:left="1080" w:hanging="1080"/>
      </w:pPr>
      <w:rPr>
        <w:rFonts w:hint="default"/>
      </w:rPr>
    </w:lvl>
    <w:lvl w:ilvl="3">
      <w:start w:val="1"/>
      <w:numFmt w:val="decimal"/>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2C"/>
    <w:rsid w:val="00013F85"/>
    <w:rsid w:val="00014400"/>
    <w:rsid w:val="00025AC4"/>
    <w:rsid w:val="00043AE3"/>
    <w:rsid w:val="00045DA4"/>
    <w:rsid w:val="00055912"/>
    <w:rsid w:val="00073E9E"/>
    <w:rsid w:val="0009093A"/>
    <w:rsid w:val="000B01B7"/>
    <w:rsid w:val="000B5206"/>
    <w:rsid w:val="000D479E"/>
    <w:rsid w:val="000D7AF9"/>
    <w:rsid w:val="000E0E2A"/>
    <w:rsid w:val="000F067C"/>
    <w:rsid w:val="000F6AFC"/>
    <w:rsid w:val="001118A3"/>
    <w:rsid w:val="00114288"/>
    <w:rsid w:val="00132E64"/>
    <w:rsid w:val="0015106A"/>
    <w:rsid w:val="00184BC1"/>
    <w:rsid w:val="00192AF1"/>
    <w:rsid w:val="0019621B"/>
    <w:rsid w:val="001968A6"/>
    <w:rsid w:val="001B59CD"/>
    <w:rsid w:val="001C0E9A"/>
    <w:rsid w:val="001C47B4"/>
    <w:rsid w:val="001C752B"/>
    <w:rsid w:val="001D6924"/>
    <w:rsid w:val="001E1727"/>
    <w:rsid w:val="001E1E1E"/>
    <w:rsid w:val="00203184"/>
    <w:rsid w:val="00206C2E"/>
    <w:rsid w:val="00211769"/>
    <w:rsid w:val="002267AA"/>
    <w:rsid w:val="0024141B"/>
    <w:rsid w:val="00244D4B"/>
    <w:rsid w:val="0026323D"/>
    <w:rsid w:val="0027274F"/>
    <w:rsid w:val="00296AF3"/>
    <w:rsid w:val="002A47B8"/>
    <w:rsid w:val="002A7BAC"/>
    <w:rsid w:val="002B1532"/>
    <w:rsid w:val="002B6716"/>
    <w:rsid w:val="002C5239"/>
    <w:rsid w:val="002C54F5"/>
    <w:rsid w:val="002C5ECF"/>
    <w:rsid w:val="003054C0"/>
    <w:rsid w:val="003817B1"/>
    <w:rsid w:val="00383FDC"/>
    <w:rsid w:val="003A0833"/>
    <w:rsid w:val="003A4330"/>
    <w:rsid w:val="003D0BC9"/>
    <w:rsid w:val="00413662"/>
    <w:rsid w:val="0042085F"/>
    <w:rsid w:val="00436001"/>
    <w:rsid w:val="00466CD2"/>
    <w:rsid w:val="004A0063"/>
    <w:rsid w:val="004A6D0D"/>
    <w:rsid w:val="004B6A3D"/>
    <w:rsid w:val="004C2ED4"/>
    <w:rsid w:val="004D214F"/>
    <w:rsid w:val="004D6081"/>
    <w:rsid w:val="004D6182"/>
    <w:rsid w:val="004D77F9"/>
    <w:rsid w:val="004E2AF8"/>
    <w:rsid w:val="004E3589"/>
    <w:rsid w:val="004E3FB6"/>
    <w:rsid w:val="004F6CBA"/>
    <w:rsid w:val="00501B8D"/>
    <w:rsid w:val="00505EE2"/>
    <w:rsid w:val="00521A17"/>
    <w:rsid w:val="005339CA"/>
    <w:rsid w:val="00534365"/>
    <w:rsid w:val="00534497"/>
    <w:rsid w:val="00542E03"/>
    <w:rsid w:val="0055634E"/>
    <w:rsid w:val="0057151E"/>
    <w:rsid w:val="00571E95"/>
    <w:rsid w:val="00585C2C"/>
    <w:rsid w:val="005C2D47"/>
    <w:rsid w:val="005D25EB"/>
    <w:rsid w:val="005E12F1"/>
    <w:rsid w:val="005E4E71"/>
    <w:rsid w:val="005F2F34"/>
    <w:rsid w:val="0060745E"/>
    <w:rsid w:val="00624D7B"/>
    <w:rsid w:val="0064626A"/>
    <w:rsid w:val="00651CEA"/>
    <w:rsid w:val="00655805"/>
    <w:rsid w:val="00675954"/>
    <w:rsid w:val="00682DAB"/>
    <w:rsid w:val="006C0928"/>
    <w:rsid w:val="006C38B4"/>
    <w:rsid w:val="006D6F9E"/>
    <w:rsid w:val="006E70BE"/>
    <w:rsid w:val="00732364"/>
    <w:rsid w:val="007331A9"/>
    <w:rsid w:val="00734623"/>
    <w:rsid w:val="007657B7"/>
    <w:rsid w:val="00767E90"/>
    <w:rsid w:val="007715A5"/>
    <w:rsid w:val="00776DB0"/>
    <w:rsid w:val="007938E0"/>
    <w:rsid w:val="00797E98"/>
    <w:rsid w:val="007A72AA"/>
    <w:rsid w:val="007B1BA8"/>
    <w:rsid w:val="007B2252"/>
    <w:rsid w:val="007B7A95"/>
    <w:rsid w:val="007F011B"/>
    <w:rsid w:val="007F2A3A"/>
    <w:rsid w:val="007F2ED2"/>
    <w:rsid w:val="00802104"/>
    <w:rsid w:val="00804B25"/>
    <w:rsid w:val="00810578"/>
    <w:rsid w:val="008228A7"/>
    <w:rsid w:val="00833A55"/>
    <w:rsid w:val="008369FE"/>
    <w:rsid w:val="008414EA"/>
    <w:rsid w:val="008419B6"/>
    <w:rsid w:val="00844360"/>
    <w:rsid w:val="00846CE4"/>
    <w:rsid w:val="00870566"/>
    <w:rsid w:val="00870A87"/>
    <w:rsid w:val="008A06D6"/>
    <w:rsid w:val="008A665E"/>
    <w:rsid w:val="008B6DB3"/>
    <w:rsid w:val="008C12E5"/>
    <w:rsid w:val="008D40B1"/>
    <w:rsid w:val="008F3434"/>
    <w:rsid w:val="00902ADF"/>
    <w:rsid w:val="009176E4"/>
    <w:rsid w:val="0092260C"/>
    <w:rsid w:val="00931840"/>
    <w:rsid w:val="009507F2"/>
    <w:rsid w:val="0095263B"/>
    <w:rsid w:val="009551C9"/>
    <w:rsid w:val="009701C2"/>
    <w:rsid w:val="009779DF"/>
    <w:rsid w:val="0098097B"/>
    <w:rsid w:val="00993121"/>
    <w:rsid w:val="00995790"/>
    <w:rsid w:val="009A340F"/>
    <w:rsid w:val="009A38DA"/>
    <w:rsid w:val="009B7930"/>
    <w:rsid w:val="009C0810"/>
    <w:rsid w:val="009C0A03"/>
    <w:rsid w:val="009C2922"/>
    <w:rsid w:val="009C4A75"/>
    <w:rsid w:val="009E5340"/>
    <w:rsid w:val="00A1233D"/>
    <w:rsid w:val="00A8377C"/>
    <w:rsid w:val="00A8429A"/>
    <w:rsid w:val="00AB125B"/>
    <w:rsid w:val="00AB56FA"/>
    <w:rsid w:val="00AD34A0"/>
    <w:rsid w:val="00AE246B"/>
    <w:rsid w:val="00AF7C09"/>
    <w:rsid w:val="00B10A18"/>
    <w:rsid w:val="00B1595C"/>
    <w:rsid w:val="00B24E24"/>
    <w:rsid w:val="00B51EB1"/>
    <w:rsid w:val="00B57AF4"/>
    <w:rsid w:val="00B70C27"/>
    <w:rsid w:val="00B73032"/>
    <w:rsid w:val="00B73C0A"/>
    <w:rsid w:val="00B82498"/>
    <w:rsid w:val="00B85B59"/>
    <w:rsid w:val="00B875DC"/>
    <w:rsid w:val="00B95CAF"/>
    <w:rsid w:val="00BA0AD3"/>
    <w:rsid w:val="00BC0D50"/>
    <w:rsid w:val="00BC5A0F"/>
    <w:rsid w:val="00BC6370"/>
    <w:rsid w:val="00BC7CE0"/>
    <w:rsid w:val="00BE6271"/>
    <w:rsid w:val="00BF6889"/>
    <w:rsid w:val="00C0103A"/>
    <w:rsid w:val="00C060A9"/>
    <w:rsid w:val="00C11E64"/>
    <w:rsid w:val="00C365EA"/>
    <w:rsid w:val="00C3776E"/>
    <w:rsid w:val="00C877F4"/>
    <w:rsid w:val="00CC7540"/>
    <w:rsid w:val="00CD03F0"/>
    <w:rsid w:val="00CD5B9F"/>
    <w:rsid w:val="00CE4E75"/>
    <w:rsid w:val="00CF614D"/>
    <w:rsid w:val="00D11208"/>
    <w:rsid w:val="00D40955"/>
    <w:rsid w:val="00D57157"/>
    <w:rsid w:val="00D84BA7"/>
    <w:rsid w:val="00DA54CE"/>
    <w:rsid w:val="00DA7E90"/>
    <w:rsid w:val="00DC0DCB"/>
    <w:rsid w:val="00DC3036"/>
    <w:rsid w:val="00DC3F09"/>
    <w:rsid w:val="00DD3CBC"/>
    <w:rsid w:val="00DE1D97"/>
    <w:rsid w:val="00DE302C"/>
    <w:rsid w:val="00DE5B8D"/>
    <w:rsid w:val="00DF4052"/>
    <w:rsid w:val="00DF6126"/>
    <w:rsid w:val="00E0513A"/>
    <w:rsid w:val="00E30434"/>
    <w:rsid w:val="00E41D2F"/>
    <w:rsid w:val="00E5411B"/>
    <w:rsid w:val="00E572CA"/>
    <w:rsid w:val="00E72B0A"/>
    <w:rsid w:val="00E95FB5"/>
    <w:rsid w:val="00EB0A43"/>
    <w:rsid w:val="00EB5796"/>
    <w:rsid w:val="00EC545A"/>
    <w:rsid w:val="00EF1EB2"/>
    <w:rsid w:val="00EF7247"/>
    <w:rsid w:val="00EF77A6"/>
    <w:rsid w:val="00F069A6"/>
    <w:rsid w:val="00F10706"/>
    <w:rsid w:val="00F36260"/>
    <w:rsid w:val="00F44A5D"/>
    <w:rsid w:val="00F50CEA"/>
    <w:rsid w:val="00F61AEA"/>
    <w:rsid w:val="00F82CA9"/>
    <w:rsid w:val="00F90C7F"/>
    <w:rsid w:val="00FA4073"/>
    <w:rsid w:val="00FB43CF"/>
    <w:rsid w:val="00FB51E7"/>
    <w:rsid w:val="00FC2842"/>
    <w:rsid w:val="00FF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4D7B8"/>
  <w15:chartTrackingRefBased/>
  <w15:docId w15:val="{34B0DCE5-FBD1-43FC-90BF-E63BAFFE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5CAF"/>
    <w:rPr>
      <w:rFonts w:ascii="New York" w:hAnsi="New Yor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CAF"/>
    <w:pPr>
      <w:tabs>
        <w:tab w:val="center" w:pos="4320"/>
        <w:tab w:val="right" w:pos="8640"/>
      </w:tabs>
    </w:pPr>
  </w:style>
  <w:style w:type="character" w:customStyle="1" w:styleId="FooterChar">
    <w:name w:val="Footer Char"/>
    <w:link w:val="Footer"/>
    <w:uiPriority w:val="99"/>
    <w:semiHidden/>
    <w:locked/>
    <w:rPr>
      <w:rFonts w:ascii="New York" w:hAnsi="New York" w:cs="Times New Roman"/>
    </w:rPr>
  </w:style>
  <w:style w:type="paragraph" w:styleId="Header">
    <w:name w:val="header"/>
    <w:basedOn w:val="Normal"/>
    <w:link w:val="HeaderChar"/>
    <w:uiPriority w:val="99"/>
    <w:rsid w:val="00B95CAF"/>
    <w:pPr>
      <w:tabs>
        <w:tab w:val="center" w:pos="4320"/>
        <w:tab w:val="right" w:pos="8640"/>
      </w:tabs>
    </w:pPr>
  </w:style>
  <w:style w:type="character" w:customStyle="1" w:styleId="HeaderChar">
    <w:name w:val="Header Char"/>
    <w:link w:val="Header"/>
    <w:uiPriority w:val="99"/>
    <w:locked/>
    <w:rPr>
      <w:rFonts w:ascii="New York" w:hAnsi="New York" w:cs="Times New Roman"/>
    </w:rPr>
  </w:style>
  <w:style w:type="paragraph" w:styleId="BlockText">
    <w:name w:val="Block Text"/>
    <w:basedOn w:val="Normal"/>
    <w:uiPriority w:val="99"/>
    <w:rsid w:val="00B95CAF"/>
    <w:pPr>
      <w:tabs>
        <w:tab w:val="left" w:pos="720"/>
        <w:tab w:val="left" w:pos="1440"/>
      </w:tabs>
      <w:spacing w:line="360" w:lineRule="atLeast"/>
      <w:ind w:left="1980" w:right="-360" w:hanging="1980"/>
    </w:pPr>
    <w:rPr>
      <w:rFonts w:ascii="Times New Roman" w:hAnsi="Times New Roman"/>
      <w:sz w:val="24"/>
    </w:rPr>
  </w:style>
  <w:style w:type="paragraph" w:styleId="BodyText">
    <w:name w:val="Body Text"/>
    <w:basedOn w:val="Normal"/>
    <w:link w:val="BodyTextChar"/>
    <w:uiPriority w:val="99"/>
    <w:rsid w:val="00B95CAF"/>
    <w:pPr>
      <w:tabs>
        <w:tab w:val="left" w:pos="360"/>
        <w:tab w:val="left" w:pos="1080"/>
      </w:tabs>
      <w:spacing w:line="360" w:lineRule="atLeast"/>
      <w:ind w:right="-360"/>
    </w:pPr>
    <w:rPr>
      <w:rFonts w:ascii="Times New Roman" w:hAnsi="Times New Roman"/>
      <w:sz w:val="24"/>
    </w:rPr>
  </w:style>
  <w:style w:type="character" w:customStyle="1" w:styleId="BodyTextChar">
    <w:name w:val="Body Text Char"/>
    <w:link w:val="BodyText"/>
    <w:uiPriority w:val="99"/>
    <w:semiHidden/>
    <w:locked/>
    <w:rPr>
      <w:rFonts w:ascii="New York" w:hAnsi="New York" w:cs="Times New Roman"/>
    </w:rPr>
  </w:style>
  <w:style w:type="paragraph" w:styleId="Title">
    <w:name w:val="Title"/>
    <w:basedOn w:val="Normal"/>
    <w:link w:val="TitleChar"/>
    <w:uiPriority w:val="10"/>
    <w:qFormat/>
    <w:rsid w:val="00B95CAF"/>
    <w:pPr>
      <w:spacing w:line="360" w:lineRule="atLeast"/>
      <w:jc w:val="center"/>
    </w:pPr>
    <w:rPr>
      <w:rFonts w:ascii="Times New Roman" w:hAnsi="Times New Roman"/>
      <w:b/>
      <w:sz w:val="24"/>
      <w:u w:val="single"/>
    </w:rPr>
  </w:style>
  <w:style w:type="character" w:customStyle="1" w:styleId="TitleChar">
    <w:name w:val="Title Char"/>
    <w:link w:val="Title"/>
    <w:uiPriority w:val="10"/>
    <w:locked/>
    <w:rPr>
      <w:rFonts w:ascii="Cambria" w:hAnsi="Cambria" w:cs="Times New Roman"/>
      <w:b/>
      <w:bCs/>
      <w:kern w:val="28"/>
      <w:sz w:val="32"/>
      <w:szCs w:val="32"/>
    </w:rPr>
  </w:style>
  <w:style w:type="paragraph" w:styleId="BalloonText">
    <w:name w:val="Balloon Text"/>
    <w:basedOn w:val="Normal"/>
    <w:link w:val="BalloonTextChar"/>
    <w:uiPriority w:val="99"/>
    <w:semiHidden/>
    <w:rsid w:val="000B01B7"/>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ListParagraph">
    <w:name w:val="List Paragraph"/>
    <w:basedOn w:val="Normal"/>
    <w:uiPriority w:val="34"/>
    <w:qFormat/>
    <w:rsid w:val="0064626A"/>
    <w:pPr>
      <w:ind w:left="720"/>
    </w:pPr>
  </w:style>
  <w:style w:type="character" w:styleId="Hyperlink">
    <w:name w:val="Hyperlink"/>
    <w:basedOn w:val="DefaultParagraphFont"/>
    <w:uiPriority w:val="99"/>
    <w:unhideWhenUsed/>
    <w:rsid w:val="00655805"/>
    <w:rPr>
      <w:color w:val="0000FF"/>
      <w:u w:val="single"/>
    </w:rPr>
  </w:style>
  <w:style w:type="character" w:styleId="Emphasis">
    <w:name w:val="Emphasis"/>
    <w:basedOn w:val="DefaultParagraphFont"/>
    <w:uiPriority w:val="20"/>
    <w:qFormat/>
    <w:rsid w:val="006558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265">
      <w:bodyDiv w:val="1"/>
      <w:marLeft w:val="0"/>
      <w:marRight w:val="0"/>
      <w:marTop w:val="0"/>
      <w:marBottom w:val="0"/>
      <w:divBdr>
        <w:top w:val="none" w:sz="0" w:space="0" w:color="auto"/>
        <w:left w:val="none" w:sz="0" w:space="0" w:color="auto"/>
        <w:bottom w:val="none" w:sz="0" w:space="0" w:color="auto"/>
        <w:right w:val="none" w:sz="0" w:space="0" w:color="auto"/>
      </w:divBdr>
    </w:div>
    <w:div w:id="103308352">
      <w:bodyDiv w:val="1"/>
      <w:marLeft w:val="0"/>
      <w:marRight w:val="0"/>
      <w:marTop w:val="0"/>
      <w:marBottom w:val="0"/>
      <w:divBdr>
        <w:top w:val="none" w:sz="0" w:space="0" w:color="auto"/>
        <w:left w:val="none" w:sz="0" w:space="0" w:color="auto"/>
        <w:bottom w:val="none" w:sz="0" w:space="0" w:color="auto"/>
        <w:right w:val="none" w:sz="0" w:space="0" w:color="auto"/>
      </w:divBdr>
    </w:div>
    <w:div w:id="169951860">
      <w:bodyDiv w:val="1"/>
      <w:marLeft w:val="0"/>
      <w:marRight w:val="0"/>
      <w:marTop w:val="0"/>
      <w:marBottom w:val="0"/>
      <w:divBdr>
        <w:top w:val="none" w:sz="0" w:space="0" w:color="auto"/>
        <w:left w:val="none" w:sz="0" w:space="0" w:color="auto"/>
        <w:bottom w:val="none" w:sz="0" w:space="0" w:color="auto"/>
        <w:right w:val="none" w:sz="0" w:space="0" w:color="auto"/>
      </w:divBdr>
    </w:div>
    <w:div w:id="203298234">
      <w:bodyDiv w:val="1"/>
      <w:marLeft w:val="0"/>
      <w:marRight w:val="0"/>
      <w:marTop w:val="0"/>
      <w:marBottom w:val="0"/>
      <w:divBdr>
        <w:top w:val="none" w:sz="0" w:space="0" w:color="auto"/>
        <w:left w:val="none" w:sz="0" w:space="0" w:color="auto"/>
        <w:bottom w:val="none" w:sz="0" w:space="0" w:color="auto"/>
        <w:right w:val="none" w:sz="0" w:space="0" w:color="auto"/>
      </w:divBdr>
    </w:div>
    <w:div w:id="233702804">
      <w:bodyDiv w:val="1"/>
      <w:marLeft w:val="0"/>
      <w:marRight w:val="0"/>
      <w:marTop w:val="0"/>
      <w:marBottom w:val="0"/>
      <w:divBdr>
        <w:top w:val="none" w:sz="0" w:space="0" w:color="auto"/>
        <w:left w:val="none" w:sz="0" w:space="0" w:color="auto"/>
        <w:bottom w:val="none" w:sz="0" w:space="0" w:color="auto"/>
        <w:right w:val="none" w:sz="0" w:space="0" w:color="auto"/>
      </w:divBdr>
    </w:div>
    <w:div w:id="327680183">
      <w:bodyDiv w:val="1"/>
      <w:marLeft w:val="0"/>
      <w:marRight w:val="0"/>
      <w:marTop w:val="0"/>
      <w:marBottom w:val="0"/>
      <w:divBdr>
        <w:top w:val="none" w:sz="0" w:space="0" w:color="auto"/>
        <w:left w:val="none" w:sz="0" w:space="0" w:color="auto"/>
        <w:bottom w:val="none" w:sz="0" w:space="0" w:color="auto"/>
        <w:right w:val="none" w:sz="0" w:space="0" w:color="auto"/>
      </w:divBdr>
    </w:div>
    <w:div w:id="484590205">
      <w:marLeft w:val="0"/>
      <w:marRight w:val="0"/>
      <w:marTop w:val="0"/>
      <w:marBottom w:val="0"/>
      <w:divBdr>
        <w:top w:val="none" w:sz="0" w:space="0" w:color="auto"/>
        <w:left w:val="none" w:sz="0" w:space="0" w:color="auto"/>
        <w:bottom w:val="none" w:sz="0" w:space="0" w:color="auto"/>
        <w:right w:val="none" w:sz="0" w:space="0" w:color="auto"/>
      </w:divBdr>
    </w:div>
    <w:div w:id="512451623">
      <w:bodyDiv w:val="1"/>
      <w:marLeft w:val="0"/>
      <w:marRight w:val="0"/>
      <w:marTop w:val="0"/>
      <w:marBottom w:val="0"/>
      <w:divBdr>
        <w:top w:val="none" w:sz="0" w:space="0" w:color="auto"/>
        <w:left w:val="none" w:sz="0" w:space="0" w:color="auto"/>
        <w:bottom w:val="none" w:sz="0" w:space="0" w:color="auto"/>
        <w:right w:val="none" w:sz="0" w:space="0" w:color="auto"/>
      </w:divBdr>
    </w:div>
    <w:div w:id="530269088">
      <w:bodyDiv w:val="1"/>
      <w:marLeft w:val="0"/>
      <w:marRight w:val="0"/>
      <w:marTop w:val="0"/>
      <w:marBottom w:val="0"/>
      <w:divBdr>
        <w:top w:val="none" w:sz="0" w:space="0" w:color="auto"/>
        <w:left w:val="none" w:sz="0" w:space="0" w:color="auto"/>
        <w:bottom w:val="none" w:sz="0" w:space="0" w:color="auto"/>
        <w:right w:val="none" w:sz="0" w:space="0" w:color="auto"/>
      </w:divBdr>
    </w:div>
    <w:div w:id="553194865">
      <w:bodyDiv w:val="1"/>
      <w:marLeft w:val="0"/>
      <w:marRight w:val="0"/>
      <w:marTop w:val="0"/>
      <w:marBottom w:val="0"/>
      <w:divBdr>
        <w:top w:val="none" w:sz="0" w:space="0" w:color="auto"/>
        <w:left w:val="none" w:sz="0" w:space="0" w:color="auto"/>
        <w:bottom w:val="none" w:sz="0" w:space="0" w:color="auto"/>
        <w:right w:val="none" w:sz="0" w:space="0" w:color="auto"/>
      </w:divBdr>
    </w:div>
    <w:div w:id="566846755">
      <w:bodyDiv w:val="1"/>
      <w:marLeft w:val="0"/>
      <w:marRight w:val="0"/>
      <w:marTop w:val="0"/>
      <w:marBottom w:val="0"/>
      <w:divBdr>
        <w:top w:val="none" w:sz="0" w:space="0" w:color="auto"/>
        <w:left w:val="none" w:sz="0" w:space="0" w:color="auto"/>
        <w:bottom w:val="none" w:sz="0" w:space="0" w:color="auto"/>
        <w:right w:val="none" w:sz="0" w:space="0" w:color="auto"/>
      </w:divBdr>
    </w:div>
    <w:div w:id="590160530">
      <w:bodyDiv w:val="1"/>
      <w:marLeft w:val="0"/>
      <w:marRight w:val="0"/>
      <w:marTop w:val="0"/>
      <w:marBottom w:val="0"/>
      <w:divBdr>
        <w:top w:val="none" w:sz="0" w:space="0" w:color="auto"/>
        <w:left w:val="none" w:sz="0" w:space="0" w:color="auto"/>
        <w:bottom w:val="none" w:sz="0" w:space="0" w:color="auto"/>
        <w:right w:val="none" w:sz="0" w:space="0" w:color="auto"/>
      </w:divBdr>
    </w:div>
    <w:div w:id="713893521">
      <w:bodyDiv w:val="1"/>
      <w:marLeft w:val="0"/>
      <w:marRight w:val="0"/>
      <w:marTop w:val="0"/>
      <w:marBottom w:val="0"/>
      <w:divBdr>
        <w:top w:val="none" w:sz="0" w:space="0" w:color="auto"/>
        <w:left w:val="none" w:sz="0" w:space="0" w:color="auto"/>
        <w:bottom w:val="none" w:sz="0" w:space="0" w:color="auto"/>
        <w:right w:val="none" w:sz="0" w:space="0" w:color="auto"/>
      </w:divBdr>
    </w:div>
    <w:div w:id="765882357">
      <w:bodyDiv w:val="1"/>
      <w:marLeft w:val="0"/>
      <w:marRight w:val="0"/>
      <w:marTop w:val="0"/>
      <w:marBottom w:val="0"/>
      <w:divBdr>
        <w:top w:val="none" w:sz="0" w:space="0" w:color="auto"/>
        <w:left w:val="none" w:sz="0" w:space="0" w:color="auto"/>
        <w:bottom w:val="none" w:sz="0" w:space="0" w:color="auto"/>
        <w:right w:val="none" w:sz="0" w:space="0" w:color="auto"/>
      </w:divBdr>
    </w:div>
    <w:div w:id="895824739">
      <w:bodyDiv w:val="1"/>
      <w:marLeft w:val="0"/>
      <w:marRight w:val="0"/>
      <w:marTop w:val="0"/>
      <w:marBottom w:val="0"/>
      <w:divBdr>
        <w:top w:val="none" w:sz="0" w:space="0" w:color="auto"/>
        <w:left w:val="none" w:sz="0" w:space="0" w:color="auto"/>
        <w:bottom w:val="none" w:sz="0" w:space="0" w:color="auto"/>
        <w:right w:val="none" w:sz="0" w:space="0" w:color="auto"/>
      </w:divBdr>
    </w:div>
    <w:div w:id="1026445947">
      <w:bodyDiv w:val="1"/>
      <w:marLeft w:val="0"/>
      <w:marRight w:val="0"/>
      <w:marTop w:val="0"/>
      <w:marBottom w:val="0"/>
      <w:divBdr>
        <w:top w:val="none" w:sz="0" w:space="0" w:color="auto"/>
        <w:left w:val="none" w:sz="0" w:space="0" w:color="auto"/>
        <w:bottom w:val="none" w:sz="0" w:space="0" w:color="auto"/>
        <w:right w:val="none" w:sz="0" w:space="0" w:color="auto"/>
      </w:divBdr>
    </w:div>
    <w:div w:id="1117681411">
      <w:bodyDiv w:val="1"/>
      <w:marLeft w:val="0"/>
      <w:marRight w:val="0"/>
      <w:marTop w:val="0"/>
      <w:marBottom w:val="0"/>
      <w:divBdr>
        <w:top w:val="none" w:sz="0" w:space="0" w:color="auto"/>
        <w:left w:val="none" w:sz="0" w:space="0" w:color="auto"/>
        <w:bottom w:val="none" w:sz="0" w:space="0" w:color="auto"/>
        <w:right w:val="none" w:sz="0" w:space="0" w:color="auto"/>
      </w:divBdr>
    </w:div>
    <w:div w:id="1139688072">
      <w:bodyDiv w:val="1"/>
      <w:marLeft w:val="0"/>
      <w:marRight w:val="0"/>
      <w:marTop w:val="0"/>
      <w:marBottom w:val="0"/>
      <w:divBdr>
        <w:top w:val="none" w:sz="0" w:space="0" w:color="auto"/>
        <w:left w:val="none" w:sz="0" w:space="0" w:color="auto"/>
        <w:bottom w:val="none" w:sz="0" w:space="0" w:color="auto"/>
        <w:right w:val="none" w:sz="0" w:space="0" w:color="auto"/>
      </w:divBdr>
    </w:div>
    <w:div w:id="1141651198">
      <w:bodyDiv w:val="1"/>
      <w:marLeft w:val="0"/>
      <w:marRight w:val="0"/>
      <w:marTop w:val="0"/>
      <w:marBottom w:val="0"/>
      <w:divBdr>
        <w:top w:val="none" w:sz="0" w:space="0" w:color="auto"/>
        <w:left w:val="none" w:sz="0" w:space="0" w:color="auto"/>
        <w:bottom w:val="none" w:sz="0" w:space="0" w:color="auto"/>
        <w:right w:val="none" w:sz="0" w:space="0" w:color="auto"/>
      </w:divBdr>
    </w:div>
    <w:div w:id="1265918470">
      <w:bodyDiv w:val="1"/>
      <w:marLeft w:val="0"/>
      <w:marRight w:val="0"/>
      <w:marTop w:val="0"/>
      <w:marBottom w:val="0"/>
      <w:divBdr>
        <w:top w:val="none" w:sz="0" w:space="0" w:color="auto"/>
        <w:left w:val="none" w:sz="0" w:space="0" w:color="auto"/>
        <w:bottom w:val="none" w:sz="0" w:space="0" w:color="auto"/>
        <w:right w:val="none" w:sz="0" w:space="0" w:color="auto"/>
      </w:divBdr>
    </w:div>
    <w:div w:id="1413115407">
      <w:bodyDiv w:val="1"/>
      <w:marLeft w:val="0"/>
      <w:marRight w:val="0"/>
      <w:marTop w:val="0"/>
      <w:marBottom w:val="0"/>
      <w:divBdr>
        <w:top w:val="none" w:sz="0" w:space="0" w:color="auto"/>
        <w:left w:val="none" w:sz="0" w:space="0" w:color="auto"/>
        <w:bottom w:val="none" w:sz="0" w:space="0" w:color="auto"/>
        <w:right w:val="none" w:sz="0" w:space="0" w:color="auto"/>
      </w:divBdr>
    </w:div>
    <w:div w:id="1414279105">
      <w:bodyDiv w:val="1"/>
      <w:marLeft w:val="0"/>
      <w:marRight w:val="0"/>
      <w:marTop w:val="0"/>
      <w:marBottom w:val="0"/>
      <w:divBdr>
        <w:top w:val="none" w:sz="0" w:space="0" w:color="auto"/>
        <w:left w:val="none" w:sz="0" w:space="0" w:color="auto"/>
        <w:bottom w:val="none" w:sz="0" w:space="0" w:color="auto"/>
        <w:right w:val="none" w:sz="0" w:space="0" w:color="auto"/>
      </w:divBdr>
    </w:div>
    <w:div w:id="1461217641">
      <w:bodyDiv w:val="1"/>
      <w:marLeft w:val="0"/>
      <w:marRight w:val="0"/>
      <w:marTop w:val="0"/>
      <w:marBottom w:val="0"/>
      <w:divBdr>
        <w:top w:val="none" w:sz="0" w:space="0" w:color="auto"/>
        <w:left w:val="none" w:sz="0" w:space="0" w:color="auto"/>
        <w:bottom w:val="none" w:sz="0" w:space="0" w:color="auto"/>
        <w:right w:val="none" w:sz="0" w:space="0" w:color="auto"/>
      </w:divBdr>
    </w:div>
    <w:div w:id="1475484576">
      <w:bodyDiv w:val="1"/>
      <w:marLeft w:val="0"/>
      <w:marRight w:val="0"/>
      <w:marTop w:val="0"/>
      <w:marBottom w:val="0"/>
      <w:divBdr>
        <w:top w:val="none" w:sz="0" w:space="0" w:color="auto"/>
        <w:left w:val="none" w:sz="0" w:space="0" w:color="auto"/>
        <w:bottom w:val="none" w:sz="0" w:space="0" w:color="auto"/>
        <w:right w:val="none" w:sz="0" w:space="0" w:color="auto"/>
      </w:divBdr>
    </w:div>
    <w:div w:id="1495144140">
      <w:bodyDiv w:val="1"/>
      <w:marLeft w:val="0"/>
      <w:marRight w:val="0"/>
      <w:marTop w:val="0"/>
      <w:marBottom w:val="0"/>
      <w:divBdr>
        <w:top w:val="none" w:sz="0" w:space="0" w:color="auto"/>
        <w:left w:val="none" w:sz="0" w:space="0" w:color="auto"/>
        <w:bottom w:val="none" w:sz="0" w:space="0" w:color="auto"/>
        <w:right w:val="none" w:sz="0" w:space="0" w:color="auto"/>
      </w:divBdr>
    </w:div>
    <w:div w:id="1685596182">
      <w:bodyDiv w:val="1"/>
      <w:marLeft w:val="0"/>
      <w:marRight w:val="0"/>
      <w:marTop w:val="0"/>
      <w:marBottom w:val="0"/>
      <w:divBdr>
        <w:top w:val="none" w:sz="0" w:space="0" w:color="auto"/>
        <w:left w:val="none" w:sz="0" w:space="0" w:color="auto"/>
        <w:bottom w:val="none" w:sz="0" w:space="0" w:color="auto"/>
        <w:right w:val="none" w:sz="0" w:space="0" w:color="auto"/>
      </w:divBdr>
    </w:div>
    <w:div w:id="1716546283">
      <w:bodyDiv w:val="1"/>
      <w:marLeft w:val="0"/>
      <w:marRight w:val="0"/>
      <w:marTop w:val="0"/>
      <w:marBottom w:val="0"/>
      <w:divBdr>
        <w:top w:val="none" w:sz="0" w:space="0" w:color="auto"/>
        <w:left w:val="none" w:sz="0" w:space="0" w:color="auto"/>
        <w:bottom w:val="none" w:sz="0" w:space="0" w:color="auto"/>
        <w:right w:val="none" w:sz="0" w:space="0" w:color="auto"/>
      </w:divBdr>
    </w:div>
    <w:div w:id="1744789267">
      <w:bodyDiv w:val="1"/>
      <w:marLeft w:val="0"/>
      <w:marRight w:val="0"/>
      <w:marTop w:val="0"/>
      <w:marBottom w:val="0"/>
      <w:divBdr>
        <w:top w:val="none" w:sz="0" w:space="0" w:color="auto"/>
        <w:left w:val="none" w:sz="0" w:space="0" w:color="auto"/>
        <w:bottom w:val="none" w:sz="0" w:space="0" w:color="auto"/>
        <w:right w:val="none" w:sz="0" w:space="0" w:color="auto"/>
      </w:divBdr>
    </w:div>
    <w:div w:id="1843810092">
      <w:bodyDiv w:val="1"/>
      <w:marLeft w:val="0"/>
      <w:marRight w:val="0"/>
      <w:marTop w:val="0"/>
      <w:marBottom w:val="0"/>
      <w:divBdr>
        <w:top w:val="none" w:sz="0" w:space="0" w:color="auto"/>
        <w:left w:val="none" w:sz="0" w:space="0" w:color="auto"/>
        <w:bottom w:val="none" w:sz="0" w:space="0" w:color="auto"/>
        <w:right w:val="none" w:sz="0" w:space="0" w:color="auto"/>
      </w:divBdr>
    </w:div>
    <w:div w:id="1922644026">
      <w:bodyDiv w:val="1"/>
      <w:marLeft w:val="0"/>
      <w:marRight w:val="0"/>
      <w:marTop w:val="0"/>
      <w:marBottom w:val="0"/>
      <w:divBdr>
        <w:top w:val="none" w:sz="0" w:space="0" w:color="auto"/>
        <w:left w:val="none" w:sz="0" w:space="0" w:color="auto"/>
        <w:bottom w:val="none" w:sz="0" w:space="0" w:color="auto"/>
        <w:right w:val="none" w:sz="0" w:space="0" w:color="auto"/>
      </w:divBdr>
    </w:div>
    <w:div w:id="2054576406">
      <w:bodyDiv w:val="1"/>
      <w:marLeft w:val="0"/>
      <w:marRight w:val="0"/>
      <w:marTop w:val="0"/>
      <w:marBottom w:val="0"/>
      <w:divBdr>
        <w:top w:val="none" w:sz="0" w:space="0" w:color="auto"/>
        <w:left w:val="none" w:sz="0" w:space="0" w:color="auto"/>
        <w:bottom w:val="none" w:sz="0" w:space="0" w:color="auto"/>
        <w:right w:val="none" w:sz="0" w:space="0" w:color="auto"/>
      </w:divBdr>
    </w:div>
    <w:div w:id="2077512341">
      <w:bodyDiv w:val="1"/>
      <w:marLeft w:val="0"/>
      <w:marRight w:val="0"/>
      <w:marTop w:val="0"/>
      <w:marBottom w:val="0"/>
      <w:divBdr>
        <w:top w:val="none" w:sz="0" w:space="0" w:color="auto"/>
        <w:left w:val="none" w:sz="0" w:space="0" w:color="auto"/>
        <w:bottom w:val="none" w:sz="0" w:space="0" w:color="auto"/>
        <w:right w:val="none" w:sz="0" w:space="0" w:color="auto"/>
      </w:divBdr>
    </w:div>
    <w:div w:id="2086998510">
      <w:bodyDiv w:val="1"/>
      <w:marLeft w:val="0"/>
      <w:marRight w:val="0"/>
      <w:marTop w:val="0"/>
      <w:marBottom w:val="0"/>
      <w:divBdr>
        <w:top w:val="none" w:sz="0" w:space="0" w:color="auto"/>
        <w:left w:val="none" w:sz="0" w:space="0" w:color="auto"/>
        <w:bottom w:val="none" w:sz="0" w:space="0" w:color="auto"/>
        <w:right w:val="none" w:sz="0" w:space="0" w:color="auto"/>
      </w:divBdr>
    </w:div>
    <w:div w:id="21339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40/3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B695-E8F2-42FD-81A7-3F6285A49F28}">
  <ds:schemaRefs>
    <ds:schemaRef ds:uri="http://schemas.microsoft.com/office/2006/metadata/properties"/>
    <ds:schemaRef ds:uri="216dce69-b21f-4253-b8b0-02ba5cda7503"/>
    <ds:schemaRef ds:uri="http://purl.org/dc/terms/"/>
    <ds:schemaRef ds:uri="http://purl.org/dc/elements/1.1/"/>
    <ds:schemaRef ds:uri="http://schemas.microsoft.com/office/infopath/2007/PartnerControls"/>
    <ds:schemaRef ds:uri="e221ab76-d249-46af-9ebb-ca8a6176c9f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B7F407-FC94-476F-85E2-CCE4B8B22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C8643-58B8-4AFF-9EBE-769D2234FA30}">
  <ds:schemaRefs>
    <ds:schemaRef ds:uri="http://schemas.microsoft.com/sharepoint/v3/contenttype/forms"/>
  </ds:schemaRefs>
</ds:datastoreItem>
</file>

<file path=customXml/itemProps4.xml><?xml version="1.0" encoding="utf-8"?>
<ds:datastoreItem xmlns:ds="http://schemas.openxmlformats.org/officeDocument/2006/customXml" ds:itemID="{B3036243-4B4D-40D2-BBE5-97F3F209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4647</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EXHIBIT D</vt:lpstr>
    </vt:vector>
  </TitlesOfParts>
  <Company>City Of San Jose</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dc:title>
  <dc:subject/>
  <dc:creator>E. S. LEE CASTILLO, JR.</dc:creator>
  <cp:keywords/>
  <dc:description/>
  <cp:lastModifiedBy>Brenda Overkamp</cp:lastModifiedBy>
  <cp:revision>5</cp:revision>
  <cp:lastPrinted>2024-06-04T16:03:00Z</cp:lastPrinted>
  <dcterms:created xsi:type="dcterms:W3CDTF">2024-06-03T18:19:00Z</dcterms:created>
  <dcterms:modified xsi:type="dcterms:W3CDTF">2024-06-04T18:04:00Z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0x01010017153966FAE4754AB1FB73D92DB2B62C</vt:lpwstr>
  </property>
</Properties>
</file>